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2CD1" w14:textId="77777777" w:rsidR="001642D2" w:rsidRPr="00D3280B" w:rsidRDefault="001642D2" w:rsidP="001642D2">
      <w:pPr>
        <w:pStyle w:val="Header"/>
        <w:rPr>
          <w:rFonts w:cs="Arial"/>
          <w:b/>
          <w:sz w:val="28"/>
          <w:szCs w:val="28"/>
        </w:rPr>
      </w:pPr>
      <w:r w:rsidRPr="00B568F8">
        <w:rPr>
          <w:rFonts w:cs="Arial"/>
          <w:b/>
          <w:noProof/>
          <w:sz w:val="28"/>
          <w:szCs w:val="28"/>
        </w:rPr>
        <mc:AlternateContent>
          <mc:Choice Requires="wps">
            <w:drawing>
              <wp:anchor distT="0" distB="0" distL="114300" distR="114300" simplePos="0" relativeHeight="251659264" behindDoc="0" locked="0" layoutInCell="1" allowOverlap="1" wp14:anchorId="13EA9378" wp14:editId="29282DAC">
                <wp:simplePos x="0" y="0"/>
                <wp:positionH relativeFrom="column">
                  <wp:posOffset>4819650</wp:posOffset>
                </wp:positionH>
                <wp:positionV relativeFrom="paragraph">
                  <wp:posOffset>-122555</wp:posOffset>
                </wp:positionV>
                <wp:extent cx="1504315" cy="1361440"/>
                <wp:effectExtent l="0" t="0" r="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36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DED7C4" w14:textId="77777777" w:rsidR="001642D2" w:rsidRDefault="001642D2" w:rsidP="001642D2">
                            <w:r>
                              <w:rPr>
                                <w:rFonts w:cs="Arial"/>
                                <w:b/>
                                <w:noProof/>
                                <w:sz w:val="28"/>
                                <w:szCs w:val="28"/>
                              </w:rPr>
                              <w:drawing>
                                <wp:inline distT="0" distB="0" distL="0" distR="0" wp14:anchorId="52087070" wp14:editId="28CE6ACE">
                                  <wp:extent cx="1299195" cy="1270000"/>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C Executive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99195" cy="127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EA9378" id="_x0000_t202" coordsize="21600,21600" o:spt="202" path="m,l,21600r21600,l21600,xe">
                <v:stroke joinstyle="miter"/>
                <v:path gradientshapeok="t" o:connecttype="rect"/>
              </v:shapetype>
              <v:shape id="Text Box 5" o:spid="_x0000_s1026" type="#_x0000_t202" style="position:absolute;left:0;text-align:left;margin-left:379.5pt;margin-top:-9.65pt;width:118.45pt;height:10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" filled="f" stroked="f">
                <v:textbox style="mso-fit-shape-to-text:t">
                  <w:txbxContent>
                    <w:p w14:paraId="7ADED7C4" w14:textId="77777777" w:rsidR="001642D2" w:rsidRDefault="001642D2" w:rsidP="001642D2">
                      <w:r>
                        <w:rPr>
                          <w:rFonts w:cs="Arial"/>
                          <w:b/>
                          <w:noProof/>
                          <w:sz w:val="28"/>
                          <w:szCs w:val="28"/>
                        </w:rPr>
                        <w:drawing>
                          <wp:inline distT="0" distB="0" distL="0" distR="0" wp14:anchorId="52087070" wp14:editId="28CE6ACE">
                            <wp:extent cx="1299195" cy="1270000"/>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C Executive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99195" cy="1270000"/>
                                    </a:xfrm>
                                    <a:prstGeom prst="rect">
                                      <a:avLst/>
                                    </a:prstGeom>
                                    <a:noFill/>
                                    <a:ln>
                                      <a:noFill/>
                                    </a:ln>
                                  </pic:spPr>
                                </pic:pic>
                              </a:graphicData>
                            </a:graphic>
                          </wp:inline>
                        </w:drawing>
                      </w:r>
                    </w:p>
                  </w:txbxContent>
                </v:textbox>
              </v:shape>
            </w:pict>
          </mc:Fallback>
        </mc:AlternateContent>
      </w:r>
      <w:r>
        <w:rPr>
          <w:rFonts w:cs="Arial"/>
          <w:b/>
          <w:noProof/>
          <w:sz w:val="28"/>
          <w:szCs w:val="28"/>
        </w:rPr>
        <w:t>JERSEY GAMBLING COMMISSION</w:t>
      </w:r>
    </w:p>
    <w:p w14:paraId="79980871" w14:textId="77777777" w:rsidR="001642D2" w:rsidRDefault="001642D2" w:rsidP="001642D2">
      <w:pPr>
        <w:pStyle w:val="Header"/>
        <w:rPr>
          <w:sz w:val="20"/>
          <w:szCs w:val="20"/>
        </w:rPr>
      </w:pPr>
    </w:p>
    <w:p w14:paraId="5888D1EF" w14:textId="77777777" w:rsidR="001642D2" w:rsidRDefault="001642D2" w:rsidP="001642D2">
      <w:pPr>
        <w:jc w:val="center"/>
        <w:rPr>
          <w:rFonts w:cs="Arial"/>
          <w:b/>
          <w:sz w:val="40"/>
          <w:szCs w:val="40"/>
          <w:u w:val="single"/>
        </w:rPr>
      </w:pPr>
    </w:p>
    <w:p w14:paraId="46EC06FE" w14:textId="77C79EF6" w:rsidR="00BE7AD0" w:rsidRDefault="00BE7AD0">
      <w:pPr>
        <w:spacing w:after="0"/>
        <w:jc w:val="left"/>
        <w:rPr>
          <w:b/>
        </w:rPr>
      </w:pPr>
    </w:p>
    <w:p w14:paraId="67D5109E" w14:textId="3F4C7BC7" w:rsidR="00BE7AD0" w:rsidRDefault="00BE7AD0">
      <w:pPr>
        <w:spacing w:after="0"/>
        <w:jc w:val="left"/>
        <w:rPr>
          <w:b/>
        </w:rPr>
      </w:pPr>
    </w:p>
    <w:p w14:paraId="73EB6F23" w14:textId="476602FC" w:rsidR="00BE7AD0" w:rsidRDefault="00BE7AD0" w:rsidP="00C70B41">
      <w:pPr>
        <w:spacing w:after="0"/>
        <w:jc w:val="right"/>
        <w:rPr>
          <w:b/>
        </w:rPr>
      </w:pPr>
    </w:p>
    <w:p w14:paraId="2A138794" w14:textId="1695C228" w:rsidR="00BE7AD0" w:rsidRDefault="00BE7AD0">
      <w:pPr>
        <w:spacing w:after="0"/>
        <w:jc w:val="left"/>
        <w:rPr>
          <w:b/>
        </w:rPr>
      </w:pPr>
    </w:p>
    <w:p w14:paraId="4A4507F7" w14:textId="13BEF526" w:rsidR="00BE7AD0" w:rsidRDefault="00BE7AD0">
      <w:pPr>
        <w:spacing w:after="0"/>
        <w:jc w:val="left"/>
        <w:rPr>
          <w:b/>
        </w:rPr>
      </w:pPr>
    </w:p>
    <w:p w14:paraId="554F6858" w14:textId="77777777" w:rsidR="00BE7AD0" w:rsidRDefault="00BE7AD0">
      <w:pPr>
        <w:spacing w:after="0"/>
        <w:jc w:val="left"/>
        <w:rPr>
          <w:b/>
        </w:rPr>
      </w:pPr>
    </w:p>
    <w:p w14:paraId="6262DB19" w14:textId="77777777" w:rsidR="00BE7AD0" w:rsidRDefault="00BE7AD0">
      <w:pPr>
        <w:spacing w:after="0"/>
        <w:jc w:val="left"/>
        <w:rPr>
          <w:b/>
        </w:rPr>
      </w:pPr>
    </w:p>
    <w:p w14:paraId="057C33D7" w14:textId="77777777" w:rsidR="00BE7AD0" w:rsidRDefault="00BE7AD0">
      <w:pPr>
        <w:spacing w:after="0"/>
        <w:jc w:val="left"/>
        <w:rPr>
          <w:b/>
        </w:rPr>
      </w:pPr>
    </w:p>
    <w:p w14:paraId="08DD65D9" w14:textId="77777777" w:rsidR="00BE7AD0" w:rsidRDefault="00BE7AD0">
      <w:pPr>
        <w:spacing w:after="0"/>
        <w:jc w:val="left"/>
        <w:rPr>
          <w:b/>
        </w:rPr>
      </w:pPr>
    </w:p>
    <w:p w14:paraId="3098E5CA" w14:textId="77777777" w:rsidR="00BE7AD0" w:rsidRDefault="00BE7AD0">
      <w:pPr>
        <w:spacing w:after="0"/>
        <w:jc w:val="left"/>
        <w:rPr>
          <w:b/>
        </w:rPr>
      </w:pPr>
    </w:p>
    <w:p w14:paraId="74B43372" w14:textId="77777777" w:rsidR="00BE7AD0" w:rsidRDefault="00BE7AD0">
      <w:pPr>
        <w:spacing w:after="0"/>
        <w:jc w:val="left"/>
        <w:rPr>
          <w:b/>
        </w:rPr>
      </w:pPr>
    </w:p>
    <w:p w14:paraId="40269E0A" w14:textId="77777777" w:rsidR="00BE7AD0" w:rsidRDefault="00BE7AD0">
      <w:pPr>
        <w:spacing w:after="0"/>
        <w:jc w:val="left"/>
        <w:rPr>
          <w:b/>
        </w:rPr>
      </w:pPr>
    </w:p>
    <w:p w14:paraId="2489C8C4" w14:textId="77777777" w:rsidR="00BE7AD0" w:rsidRDefault="00BE7AD0">
      <w:pPr>
        <w:spacing w:after="0"/>
        <w:jc w:val="left"/>
        <w:rPr>
          <w:b/>
        </w:rPr>
      </w:pPr>
    </w:p>
    <w:p w14:paraId="54E7C697" w14:textId="77777777" w:rsidR="00BE7AD0" w:rsidRDefault="00BE7AD0">
      <w:pPr>
        <w:spacing w:after="0"/>
        <w:jc w:val="left"/>
        <w:rPr>
          <w:b/>
        </w:rPr>
      </w:pPr>
    </w:p>
    <w:p w14:paraId="5ABA8252" w14:textId="77777777" w:rsidR="00BE7AD0" w:rsidRDefault="00BE7AD0">
      <w:pPr>
        <w:spacing w:after="0"/>
        <w:jc w:val="left"/>
        <w:rPr>
          <w:b/>
        </w:rPr>
      </w:pPr>
    </w:p>
    <w:p w14:paraId="40265A1B" w14:textId="77777777" w:rsidR="00BE7AD0" w:rsidRDefault="00BE7AD0">
      <w:pPr>
        <w:spacing w:after="0"/>
        <w:jc w:val="left"/>
        <w:rPr>
          <w:b/>
        </w:rPr>
      </w:pPr>
    </w:p>
    <w:p w14:paraId="1A5BA13E" w14:textId="77777777" w:rsidR="00BE7AD0" w:rsidRDefault="00BE7AD0">
      <w:pPr>
        <w:spacing w:after="0"/>
        <w:jc w:val="left"/>
        <w:rPr>
          <w:b/>
        </w:rPr>
      </w:pPr>
    </w:p>
    <w:p w14:paraId="48457C6C" w14:textId="77777777" w:rsidR="00BE7AD0" w:rsidRDefault="00BE7AD0">
      <w:pPr>
        <w:spacing w:after="0"/>
        <w:jc w:val="left"/>
        <w:rPr>
          <w:b/>
        </w:rPr>
      </w:pPr>
    </w:p>
    <w:p w14:paraId="2CC31E37" w14:textId="5A377D10" w:rsidR="00BE7AD0" w:rsidRPr="001642D2" w:rsidRDefault="001642D2">
      <w:pPr>
        <w:spacing w:after="0"/>
        <w:jc w:val="left"/>
        <w:rPr>
          <w:rFonts w:cs="Arial"/>
          <w:b/>
          <w:noProof/>
          <w:sz w:val="40"/>
          <w:szCs w:val="40"/>
        </w:rPr>
      </w:pPr>
      <w:r>
        <w:rPr>
          <w:b/>
          <w:sz w:val="40"/>
          <w:szCs w:val="40"/>
        </w:rPr>
        <w:t xml:space="preserve">Policy Statement for the Conduct and Regulation of </w:t>
      </w:r>
      <w:r w:rsidR="00C3345C">
        <w:rPr>
          <w:b/>
          <w:sz w:val="40"/>
          <w:szCs w:val="40"/>
        </w:rPr>
        <w:t xml:space="preserve">Social and </w:t>
      </w:r>
      <w:r w:rsidR="00BE7AD0" w:rsidRPr="001642D2">
        <w:rPr>
          <w:b/>
          <w:sz w:val="40"/>
          <w:szCs w:val="40"/>
        </w:rPr>
        <w:t>C</w:t>
      </w:r>
      <w:r>
        <w:rPr>
          <w:b/>
          <w:sz w:val="40"/>
          <w:szCs w:val="40"/>
        </w:rPr>
        <w:t>haritable</w:t>
      </w:r>
      <w:r w:rsidR="00BE7AD0" w:rsidRPr="001642D2">
        <w:rPr>
          <w:b/>
          <w:sz w:val="40"/>
          <w:szCs w:val="40"/>
        </w:rPr>
        <w:t xml:space="preserve"> </w:t>
      </w:r>
      <w:r>
        <w:rPr>
          <w:b/>
          <w:sz w:val="40"/>
          <w:szCs w:val="40"/>
        </w:rPr>
        <w:t>Gambling</w:t>
      </w:r>
    </w:p>
    <w:p w14:paraId="274A9674" w14:textId="77777777" w:rsidR="00BE7AD0" w:rsidRDefault="00BE7AD0">
      <w:pPr>
        <w:spacing w:after="0"/>
        <w:jc w:val="left"/>
        <w:rPr>
          <w:rFonts w:cs="Arial"/>
          <w:b/>
          <w:noProof/>
          <w:sz w:val="32"/>
          <w:szCs w:val="32"/>
        </w:rPr>
      </w:pPr>
    </w:p>
    <w:p w14:paraId="737AB5B5" w14:textId="77777777" w:rsidR="00BE7AD0" w:rsidRDefault="00BE7AD0">
      <w:pPr>
        <w:spacing w:after="0"/>
        <w:jc w:val="left"/>
        <w:rPr>
          <w:rFonts w:cs="Arial"/>
          <w:b/>
          <w:noProof/>
          <w:sz w:val="24"/>
        </w:rPr>
      </w:pPr>
    </w:p>
    <w:p w14:paraId="4599CB3A" w14:textId="77777777" w:rsidR="00BE7AD0" w:rsidRDefault="00BE7AD0">
      <w:pPr>
        <w:spacing w:after="0"/>
        <w:jc w:val="left"/>
        <w:rPr>
          <w:rFonts w:cs="Arial"/>
          <w:b/>
          <w:noProof/>
          <w:sz w:val="24"/>
        </w:rPr>
      </w:pPr>
    </w:p>
    <w:p w14:paraId="38164E42" w14:textId="77777777" w:rsidR="00BE7AD0" w:rsidRDefault="00BE7AD0">
      <w:pPr>
        <w:spacing w:after="0"/>
        <w:jc w:val="left"/>
        <w:rPr>
          <w:rFonts w:cs="Arial"/>
          <w:b/>
          <w:noProof/>
          <w:sz w:val="24"/>
        </w:rPr>
      </w:pPr>
    </w:p>
    <w:p w14:paraId="4AC4F9D1" w14:textId="77777777" w:rsidR="00BE7AD0" w:rsidRDefault="00BE7AD0">
      <w:pPr>
        <w:spacing w:after="0"/>
        <w:jc w:val="left"/>
        <w:rPr>
          <w:rFonts w:cs="Arial"/>
          <w:b/>
          <w:noProof/>
          <w:sz w:val="24"/>
        </w:rPr>
      </w:pPr>
    </w:p>
    <w:p w14:paraId="01B0977A" w14:textId="77777777" w:rsidR="00BE7AD0" w:rsidRDefault="00BE7AD0">
      <w:pPr>
        <w:spacing w:after="0"/>
        <w:jc w:val="left"/>
        <w:rPr>
          <w:rFonts w:cs="Arial"/>
          <w:b/>
          <w:noProof/>
          <w:sz w:val="24"/>
        </w:rPr>
      </w:pPr>
    </w:p>
    <w:p w14:paraId="6EAFE0E9" w14:textId="77777777" w:rsidR="00BE7AD0" w:rsidRDefault="00BE7AD0">
      <w:pPr>
        <w:spacing w:after="0"/>
        <w:jc w:val="left"/>
        <w:rPr>
          <w:rFonts w:cs="Arial"/>
          <w:b/>
          <w:noProof/>
          <w:sz w:val="24"/>
        </w:rPr>
      </w:pPr>
    </w:p>
    <w:p w14:paraId="6C543052" w14:textId="109E18DE" w:rsidR="00BE7AD0" w:rsidRDefault="00BE7AD0">
      <w:pPr>
        <w:spacing w:after="0"/>
        <w:jc w:val="left"/>
        <w:rPr>
          <w:rFonts w:cs="Arial"/>
          <w:b/>
          <w:noProof/>
          <w:sz w:val="24"/>
        </w:rPr>
      </w:pPr>
    </w:p>
    <w:p w14:paraId="1C2CC0C3" w14:textId="7BEBB095" w:rsidR="001642D2" w:rsidRDefault="001642D2">
      <w:pPr>
        <w:spacing w:after="0"/>
        <w:jc w:val="left"/>
        <w:rPr>
          <w:rFonts w:cs="Arial"/>
          <w:b/>
          <w:noProof/>
          <w:sz w:val="24"/>
        </w:rPr>
      </w:pPr>
    </w:p>
    <w:p w14:paraId="1BE249BB" w14:textId="53333950" w:rsidR="001642D2" w:rsidRDefault="001642D2">
      <w:pPr>
        <w:spacing w:after="0"/>
        <w:jc w:val="left"/>
        <w:rPr>
          <w:rFonts w:cs="Arial"/>
          <w:b/>
          <w:noProof/>
          <w:sz w:val="24"/>
        </w:rPr>
      </w:pPr>
    </w:p>
    <w:p w14:paraId="6F2A9C9C" w14:textId="2EC4037E" w:rsidR="001642D2" w:rsidRDefault="001642D2">
      <w:pPr>
        <w:spacing w:after="0"/>
        <w:jc w:val="left"/>
        <w:rPr>
          <w:rFonts w:cs="Arial"/>
          <w:b/>
          <w:noProof/>
          <w:sz w:val="24"/>
        </w:rPr>
      </w:pPr>
    </w:p>
    <w:p w14:paraId="30C6CFFE" w14:textId="5626073B" w:rsidR="000F6D73" w:rsidRDefault="000F6D73">
      <w:pPr>
        <w:spacing w:after="0"/>
        <w:jc w:val="left"/>
        <w:rPr>
          <w:rFonts w:cs="Arial"/>
          <w:b/>
          <w:noProof/>
          <w:sz w:val="24"/>
        </w:rPr>
      </w:pPr>
    </w:p>
    <w:p w14:paraId="0BF058F9" w14:textId="77777777" w:rsidR="000F6D73" w:rsidRDefault="000F6D73">
      <w:pPr>
        <w:spacing w:after="0"/>
        <w:jc w:val="left"/>
        <w:rPr>
          <w:rFonts w:cs="Arial"/>
          <w:b/>
          <w:noProof/>
          <w:sz w:val="24"/>
        </w:rPr>
      </w:pPr>
    </w:p>
    <w:p w14:paraId="7B352DEF" w14:textId="77777777" w:rsidR="001642D2" w:rsidRDefault="001642D2">
      <w:pPr>
        <w:spacing w:after="0"/>
        <w:jc w:val="left"/>
        <w:rPr>
          <w:rFonts w:cs="Arial"/>
          <w:b/>
          <w:noProof/>
          <w:sz w:val="24"/>
        </w:rPr>
      </w:pPr>
    </w:p>
    <w:p w14:paraId="74CEBD49" w14:textId="77777777" w:rsidR="00BE7AD0" w:rsidRDefault="00BE7AD0">
      <w:pPr>
        <w:spacing w:after="0"/>
        <w:jc w:val="left"/>
        <w:rPr>
          <w:rFonts w:cs="Arial"/>
          <w:b/>
          <w:noProof/>
          <w:sz w:val="24"/>
        </w:rPr>
      </w:pPr>
    </w:p>
    <w:p w14:paraId="46BAA7AE" w14:textId="21B54C2C" w:rsidR="00675A2D" w:rsidRDefault="001642D2" w:rsidP="001642D2">
      <w:pPr>
        <w:spacing w:after="0"/>
        <w:jc w:val="right"/>
        <w:rPr>
          <w:rFonts w:cs="Arial"/>
          <w:b/>
          <w:noProof/>
          <w:sz w:val="24"/>
        </w:rPr>
      </w:pPr>
      <w:r>
        <w:rPr>
          <w:rFonts w:cs="Arial"/>
          <w:b/>
          <w:noProof/>
          <w:sz w:val="24"/>
        </w:rPr>
        <w:t>P</w:t>
      </w:r>
      <w:r w:rsidR="00BE7AD0">
        <w:rPr>
          <w:rFonts w:cs="Arial"/>
          <w:b/>
          <w:noProof/>
          <w:sz w:val="24"/>
        </w:rPr>
        <w:t>ublished January 2013</w:t>
      </w:r>
      <w:r w:rsidR="00675A2D">
        <w:rPr>
          <w:rFonts w:cs="Arial"/>
          <w:b/>
          <w:noProof/>
          <w:sz w:val="24"/>
        </w:rPr>
        <w:br/>
      </w:r>
      <w:r>
        <w:rPr>
          <w:rFonts w:cs="Arial"/>
          <w:b/>
          <w:noProof/>
          <w:sz w:val="24"/>
        </w:rPr>
        <w:t>Revised</w:t>
      </w:r>
      <w:r w:rsidR="00675A2D">
        <w:rPr>
          <w:rFonts w:cs="Arial"/>
          <w:b/>
          <w:noProof/>
          <w:sz w:val="24"/>
        </w:rPr>
        <w:t xml:space="preserve"> December 2016</w:t>
      </w:r>
      <w:r>
        <w:rPr>
          <w:rFonts w:cs="Arial"/>
          <w:b/>
          <w:noProof/>
          <w:sz w:val="24"/>
        </w:rPr>
        <w:t xml:space="preserve"> &amp; July 2019</w:t>
      </w:r>
    </w:p>
    <w:p w14:paraId="4337FF83" w14:textId="11167394" w:rsidR="004C122E" w:rsidRDefault="004C122E" w:rsidP="001642D2">
      <w:pPr>
        <w:spacing w:after="0"/>
        <w:jc w:val="right"/>
        <w:rPr>
          <w:rFonts w:cs="Arial"/>
          <w:b/>
          <w:noProof/>
          <w:sz w:val="24"/>
        </w:rPr>
      </w:pPr>
      <w:r>
        <w:rPr>
          <w:rFonts w:cs="Arial"/>
          <w:b/>
          <w:noProof/>
          <w:sz w:val="24"/>
        </w:rPr>
        <w:t>Amended May 2022</w:t>
      </w:r>
    </w:p>
    <w:p w14:paraId="2E56230E" w14:textId="01BF9E6C" w:rsidR="00BE7AD0" w:rsidRPr="00BE7AD0" w:rsidRDefault="00BE7AD0">
      <w:pPr>
        <w:spacing w:after="0"/>
        <w:jc w:val="left"/>
        <w:rPr>
          <w:rFonts w:cs="Arial"/>
          <w:b/>
          <w:noProof/>
          <w:sz w:val="32"/>
          <w:szCs w:val="32"/>
        </w:rPr>
      </w:pPr>
      <w:r w:rsidRPr="00BE7AD0">
        <w:rPr>
          <w:rFonts w:cs="Arial"/>
          <w:b/>
          <w:noProof/>
          <w:sz w:val="32"/>
          <w:szCs w:val="32"/>
        </w:rPr>
        <w:br w:type="page"/>
      </w:r>
    </w:p>
    <w:p w14:paraId="625ED61B" w14:textId="026986A9" w:rsidR="005D1E32" w:rsidRPr="005D1E32" w:rsidRDefault="005D1E32" w:rsidP="005D1E32">
      <w:pPr>
        <w:spacing w:after="0"/>
        <w:jc w:val="left"/>
        <w:rPr>
          <w:sz w:val="24"/>
        </w:rPr>
      </w:pPr>
      <w:r>
        <w:rPr>
          <w:b/>
          <w:sz w:val="24"/>
        </w:rPr>
        <w:lastRenderedPageBreak/>
        <w:t>JERSEY GAMBLING COMMISSION POLICY STATEMENT FOR SOCIAL AND CHARITABLE GAMBLING</w:t>
      </w:r>
    </w:p>
    <w:p w14:paraId="7B711862" w14:textId="77777777" w:rsidR="005D1E32" w:rsidRDefault="005D1E32" w:rsidP="005D1E32">
      <w:pPr>
        <w:spacing w:after="0"/>
        <w:rPr>
          <w:b/>
          <w:sz w:val="24"/>
        </w:rPr>
      </w:pPr>
    </w:p>
    <w:p w14:paraId="6B48A36C" w14:textId="596B10D1" w:rsidR="005D1E32" w:rsidRPr="005D1E32" w:rsidRDefault="005D1E32" w:rsidP="005D1E32">
      <w:pPr>
        <w:spacing w:after="0"/>
        <w:rPr>
          <w:b/>
          <w:sz w:val="24"/>
        </w:rPr>
      </w:pPr>
      <w:r w:rsidRPr="005D1E32">
        <w:rPr>
          <w:b/>
          <w:sz w:val="24"/>
        </w:rPr>
        <w:t>The Jersey Gambling Commission (the Commission) regulates gambling promoted by clubs, societies and charities as fundraising to benefit good causes.</w:t>
      </w:r>
    </w:p>
    <w:p w14:paraId="19C56701" w14:textId="438AE5B5" w:rsidR="000F6D73" w:rsidRDefault="000F6D73" w:rsidP="005D1E32">
      <w:pPr>
        <w:spacing w:after="0"/>
        <w:rPr>
          <w:sz w:val="20"/>
          <w:szCs w:val="20"/>
        </w:rPr>
      </w:pPr>
    </w:p>
    <w:p w14:paraId="4CBEE238" w14:textId="271A3803" w:rsidR="00ED2E01" w:rsidRDefault="000F6D73" w:rsidP="005D1E32">
      <w:pPr>
        <w:spacing w:after="0"/>
        <w:rPr>
          <w:sz w:val="24"/>
        </w:rPr>
      </w:pPr>
      <w:r w:rsidRPr="000F6D73">
        <w:rPr>
          <w:sz w:val="24"/>
        </w:rPr>
        <w:t xml:space="preserve">Gambling cannot be undertaken </w:t>
      </w:r>
      <w:r>
        <w:rPr>
          <w:sz w:val="24"/>
        </w:rPr>
        <w:t xml:space="preserve">with the public </w:t>
      </w:r>
      <w:r w:rsidRPr="000F6D73">
        <w:rPr>
          <w:sz w:val="24"/>
        </w:rPr>
        <w:t>for p</w:t>
      </w:r>
      <w:r>
        <w:rPr>
          <w:sz w:val="24"/>
        </w:rPr>
        <w:t>r</w:t>
      </w:r>
      <w:r w:rsidRPr="000F6D73">
        <w:rPr>
          <w:sz w:val="24"/>
        </w:rPr>
        <w:t>ivate gain</w:t>
      </w:r>
      <w:r>
        <w:rPr>
          <w:sz w:val="24"/>
        </w:rPr>
        <w:t xml:space="preserve">.  This policy is to allow for fundraising by charitable causes and bone fide local clubs and societies.  Where individuals wish to raise money for a charitable cause (or club or society) that they are not a member of, they </w:t>
      </w:r>
      <w:r w:rsidR="00ED2E01">
        <w:rPr>
          <w:sz w:val="24"/>
        </w:rPr>
        <w:t xml:space="preserve">must </w:t>
      </w:r>
      <w:r>
        <w:rPr>
          <w:sz w:val="24"/>
        </w:rPr>
        <w:t xml:space="preserve">ensure the beneficiary is aware.  </w:t>
      </w:r>
      <w:r w:rsidR="00ED2E01">
        <w:rPr>
          <w:sz w:val="24"/>
        </w:rPr>
        <w:t>Individuals may not use gambling offerings to raise money without the knowledge and support of the beneficiary because this is a reputational risk to the good cause and also puts them at risk of being accused of acting fraudulently.  Simply put, to ensure the public are not ‘conned’ by scammers, you must inform and receive the endorsement of the cause you wish to support BEFORE you proceed.</w:t>
      </w:r>
    </w:p>
    <w:p w14:paraId="6922AD6E" w14:textId="77777777" w:rsidR="00ED2E01" w:rsidRDefault="00ED2E01" w:rsidP="005D1E32">
      <w:pPr>
        <w:spacing w:after="0"/>
        <w:rPr>
          <w:sz w:val="24"/>
        </w:rPr>
      </w:pPr>
    </w:p>
    <w:p w14:paraId="429B2054" w14:textId="51F96EF6" w:rsidR="000F6D73" w:rsidRPr="000F6D73" w:rsidRDefault="000F6D73" w:rsidP="005D1E32">
      <w:pPr>
        <w:spacing w:after="0"/>
        <w:rPr>
          <w:sz w:val="24"/>
        </w:rPr>
      </w:pPr>
      <w:r>
        <w:rPr>
          <w:sz w:val="24"/>
        </w:rPr>
        <w:t>If you have any questions regarding this policy, please contact the Commission directly.</w:t>
      </w:r>
    </w:p>
    <w:p w14:paraId="6BD48B32" w14:textId="77777777" w:rsidR="000F6D73" w:rsidRDefault="000F6D73" w:rsidP="005D1E32">
      <w:pPr>
        <w:spacing w:after="0"/>
        <w:rPr>
          <w:sz w:val="20"/>
          <w:szCs w:val="20"/>
        </w:rPr>
      </w:pPr>
    </w:p>
    <w:p w14:paraId="63B7EFFF" w14:textId="6D02A6C9" w:rsidR="005D1E32" w:rsidRPr="000F6D73" w:rsidRDefault="000F6D73" w:rsidP="005D1E32">
      <w:pPr>
        <w:spacing w:after="0"/>
        <w:rPr>
          <w:b/>
          <w:sz w:val="24"/>
        </w:rPr>
      </w:pPr>
      <w:r w:rsidRPr="000F6D73">
        <w:rPr>
          <w:sz w:val="24"/>
        </w:rPr>
        <w:t>This document sets out the Commission’s policy for charitable gambling, its relevant permissions and appropriate enforcement.  It is published in accordance with Article 9 of the Gambling (Jersey) Law 2012 and came into force on 1</w:t>
      </w:r>
      <w:r w:rsidRPr="000F6D73">
        <w:rPr>
          <w:sz w:val="24"/>
          <w:vertAlign w:val="superscript"/>
        </w:rPr>
        <w:t>st</w:t>
      </w:r>
      <w:r w:rsidRPr="000F6D73">
        <w:rPr>
          <w:sz w:val="24"/>
        </w:rPr>
        <w:t xml:space="preserve"> January 2013.</w:t>
      </w:r>
    </w:p>
    <w:p w14:paraId="52A354F5" w14:textId="77777777" w:rsidR="002C0582" w:rsidRDefault="002C0582" w:rsidP="002C0582">
      <w:pPr>
        <w:pStyle w:val="Heading3"/>
        <w:spacing w:before="0" w:after="0"/>
        <w:rPr>
          <w:sz w:val="24"/>
          <w:szCs w:val="24"/>
        </w:rPr>
      </w:pPr>
    </w:p>
    <w:p w14:paraId="7883E308" w14:textId="4AEF1FCA" w:rsidR="002C0582" w:rsidRPr="0053417C" w:rsidRDefault="002C0582" w:rsidP="002C0582">
      <w:pPr>
        <w:pStyle w:val="Heading3"/>
        <w:spacing w:before="0" w:after="0"/>
        <w:rPr>
          <w:sz w:val="24"/>
          <w:szCs w:val="24"/>
        </w:rPr>
      </w:pPr>
      <w:r w:rsidRPr="0053417C">
        <w:rPr>
          <w:sz w:val="24"/>
          <w:szCs w:val="24"/>
        </w:rPr>
        <w:t>Consultation</w:t>
      </w:r>
    </w:p>
    <w:p w14:paraId="76A99F17" w14:textId="77777777" w:rsidR="002C0582" w:rsidRPr="0053417C" w:rsidRDefault="002C0582" w:rsidP="002C0582">
      <w:pPr>
        <w:spacing w:after="0"/>
        <w:rPr>
          <w:sz w:val="24"/>
        </w:rPr>
      </w:pPr>
      <w:r w:rsidRPr="0053417C">
        <w:rPr>
          <w:sz w:val="24"/>
        </w:rPr>
        <w:t>The Commission will consult on changes to its regulatory approach where it is appropriate to do so.</w:t>
      </w:r>
    </w:p>
    <w:p w14:paraId="644938DA" w14:textId="77777777" w:rsidR="002C0582" w:rsidRPr="0053417C" w:rsidRDefault="002C0582" w:rsidP="002C0582">
      <w:pPr>
        <w:pStyle w:val="Heading3"/>
        <w:spacing w:before="0" w:after="0"/>
        <w:rPr>
          <w:sz w:val="24"/>
          <w:szCs w:val="24"/>
        </w:rPr>
      </w:pPr>
    </w:p>
    <w:p w14:paraId="6816FB01" w14:textId="77777777" w:rsidR="002C0582" w:rsidRPr="0053417C" w:rsidRDefault="002C0582" w:rsidP="002C0582">
      <w:pPr>
        <w:pStyle w:val="Heading3"/>
        <w:spacing w:before="0" w:after="0"/>
        <w:rPr>
          <w:sz w:val="24"/>
          <w:szCs w:val="24"/>
        </w:rPr>
      </w:pPr>
      <w:r w:rsidRPr="0053417C">
        <w:rPr>
          <w:sz w:val="24"/>
          <w:szCs w:val="24"/>
        </w:rPr>
        <w:t>Decision making processes</w:t>
      </w:r>
    </w:p>
    <w:p w14:paraId="54A84036" w14:textId="77777777" w:rsidR="002C0582" w:rsidRPr="0053417C" w:rsidRDefault="002C0582" w:rsidP="002C0582">
      <w:pPr>
        <w:spacing w:after="0"/>
        <w:rPr>
          <w:sz w:val="24"/>
        </w:rPr>
      </w:pPr>
      <w:r w:rsidRPr="0053417C">
        <w:rPr>
          <w:sz w:val="24"/>
        </w:rPr>
        <w:t>The Commission will ensure that regulatory decisions are properly reasoned and evidence-based and undertaken in a timely manner.</w:t>
      </w:r>
    </w:p>
    <w:p w14:paraId="55B43234" w14:textId="77777777" w:rsidR="002C0582" w:rsidRDefault="002C0582" w:rsidP="002C0582">
      <w:pPr>
        <w:pStyle w:val="Heading3"/>
        <w:spacing w:before="0" w:after="0"/>
        <w:rPr>
          <w:sz w:val="24"/>
          <w:szCs w:val="24"/>
        </w:rPr>
      </w:pPr>
    </w:p>
    <w:p w14:paraId="7CF6E5E1" w14:textId="77777777" w:rsidR="002C0582" w:rsidRPr="0053417C" w:rsidRDefault="002C0582" w:rsidP="002C0582">
      <w:pPr>
        <w:pStyle w:val="Heading3"/>
        <w:spacing w:before="0" w:after="0"/>
        <w:rPr>
          <w:sz w:val="24"/>
          <w:szCs w:val="24"/>
        </w:rPr>
      </w:pPr>
      <w:r w:rsidRPr="0053417C">
        <w:rPr>
          <w:sz w:val="24"/>
          <w:szCs w:val="24"/>
        </w:rPr>
        <w:t>Confirming licensing and regulatory decisions</w:t>
      </w:r>
    </w:p>
    <w:p w14:paraId="26DDE5A5" w14:textId="77777777" w:rsidR="002C0582" w:rsidRDefault="002C0582" w:rsidP="002C0582">
      <w:pPr>
        <w:spacing w:after="0"/>
        <w:rPr>
          <w:sz w:val="24"/>
        </w:rPr>
      </w:pPr>
      <w:r w:rsidRPr="0053417C">
        <w:rPr>
          <w:sz w:val="24"/>
        </w:rPr>
        <w:t>The Commission will provide written notification of regulatory decisions, including:</w:t>
      </w:r>
    </w:p>
    <w:p w14:paraId="29BFBCFD" w14:textId="77777777" w:rsidR="002C0582" w:rsidRPr="0053417C" w:rsidRDefault="002C0582" w:rsidP="002C0582">
      <w:pPr>
        <w:spacing w:after="0"/>
        <w:rPr>
          <w:sz w:val="24"/>
        </w:rPr>
      </w:pPr>
    </w:p>
    <w:p w14:paraId="3BC20BC7" w14:textId="77777777" w:rsidR="002C0582" w:rsidRPr="0053417C" w:rsidRDefault="002C0582" w:rsidP="002C0582">
      <w:pPr>
        <w:numPr>
          <w:ilvl w:val="0"/>
          <w:numId w:val="11"/>
        </w:numPr>
        <w:rPr>
          <w:sz w:val="24"/>
        </w:rPr>
      </w:pPr>
      <w:r w:rsidRPr="0053417C">
        <w:rPr>
          <w:sz w:val="24"/>
        </w:rPr>
        <w:t>a clear explanation of the reasons on which the decision is based (in a level of detail proportionate to its impact); and</w:t>
      </w:r>
    </w:p>
    <w:p w14:paraId="1E4AB147" w14:textId="77777777" w:rsidR="002C0582" w:rsidRPr="00D012AF" w:rsidRDefault="002C0582" w:rsidP="002C0582">
      <w:pPr>
        <w:numPr>
          <w:ilvl w:val="0"/>
          <w:numId w:val="11"/>
        </w:numPr>
        <w:rPr>
          <w:sz w:val="24"/>
        </w:rPr>
      </w:pPr>
      <w:r w:rsidRPr="0053417C">
        <w:rPr>
          <w:sz w:val="24"/>
        </w:rPr>
        <w:t>details of any appeal mechanism(s).</w:t>
      </w:r>
    </w:p>
    <w:p w14:paraId="327FBE6B" w14:textId="77777777" w:rsidR="002C0582" w:rsidRPr="0053417C" w:rsidRDefault="002C0582" w:rsidP="002C0582">
      <w:pPr>
        <w:pStyle w:val="Heading3"/>
        <w:spacing w:before="0" w:after="0"/>
        <w:rPr>
          <w:sz w:val="24"/>
          <w:szCs w:val="24"/>
        </w:rPr>
      </w:pPr>
      <w:r w:rsidRPr="0053417C">
        <w:rPr>
          <w:sz w:val="24"/>
          <w:szCs w:val="24"/>
        </w:rPr>
        <w:t xml:space="preserve">The opportunity to make oral representations </w:t>
      </w:r>
    </w:p>
    <w:p w14:paraId="69B8EF9A" w14:textId="77777777" w:rsidR="002C0582" w:rsidRPr="0053417C" w:rsidRDefault="002C0582" w:rsidP="002C0582">
      <w:pPr>
        <w:spacing w:after="0"/>
        <w:rPr>
          <w:sz w:val="24"/>
        </w:rPr>
      </w:pPr>
      <w:r w:rsidRPr="0053417C">
        <w:rPr>
          <w:sz w:val="24"/>
        </w:rPr>
        <w:t>The Commission will provide an opportunity for applicants to make oral representations to it in appropriate circumstances.</w:t>
      </w:r>
    </w:p>
    <w:p w14:paraId="76CCD3E3" w14:textId="77777777" w:rsidR="002C0582" w:rsidRPr="0053417C" w:rsidRDefault="002C0582" w:rsidP="002C0582">
      <w:pPr>
        <w:pStyle w:val="Heading3"/>
        <w:spacing w:before="0" w:after="0"/>
        <w:rPr>
          <w:sz w:val="24"/>
          <w:szCs w:val="24"/>
        </w:rPr>
      </w:pPr>
    </w:p>
    <w:p w14:paraId="2AE9AFB7" w14:textId="77777777" w:rsidR="002C0582" w:rsidRPr="0053417C" w:rsidRDefault="002C0582" w:rsidP="002C0582">
      <w:pPr>
        <w:pStyle w:val="Heading3"/>
        <w:spacing w:before="0" w:after="0"/>
        <w:rPr>
          <w:sz w:val="24"/>
          <w:szCs w:val="24"/>
        </w:rPr>
      </w:pPr>
      <w:r w:rsidRPr="0053417C">
        <w:rPr>
          <w:sz w:val="24"/>
          <w:szCs w:val="24"/>
        </w:rPr>
        <w:t>Minimum burden test</w:t>
      </w:r>
    </w:p>
    <w:p w14:paraId="6206C9E2" w14:textId="77777777" w:rsidR="002C0582" w:rsidRPr="0053417C" w:rsidRDefault="002C0582" w:rsidP="002C0582">
      <w:pPr>
        <w:spacing w:after="0"/>
        <w:rPr>
          <w:sz w:val="24"/>
        </w:rPr>
      </w:pPr>
      <w:r w:rsidRPr="0053417C">
        <w:rPr>
          <w:sz w:val="24"/>
        </w:rPr>
        <w:t xml:space="preserve">The Commission will ensure that its regulatory approach imposes the minimum burden necessary to promote the </w:t>
      </w:r>
      <w:r>
        <w:rPr>
          <w:sz w:val="24"/>
        </w:rPr>
        <w:t>Guiding P</w:t>
      </w:r>
      <w:r w:rsidRPr="0053417C">
        <w:rPr>
          <w:sz w:val="24"/>
        </w:rPr>
        <w:t xml:space="preserve">rinciples. </w:t>
      </w:r>
      <w:r>
        <w:rPr>
          <w:sz w:val="24"/>
        </w:rPr>
        <w:t xml:space="preserve"> </w:t>
      </w:r>
      <w:r w:rsidRPr="0053417C">
        <w:rPr>
          <w:sz w:val="24"/>
        </w:rPr>
        <w:t xml:space="preserve">The Commission must </w:t>
      </w:r>
      <w:proofErr w:type="gramStart"/>
      <w:r w:rsidRPr="0053417C">
        <w:rPr>
          <w:sz w:val="24"/>
        </w:rPr>
        <w:t>take into account</w:t>
      </w:r>
      <w:proofErr w:type="gramEnd"/>
      <w:r w:rsidRPr="0053417C">
        <w:rPr>
          <w:sz w:val="24"/>
        </w:rPr>
        <w:t xml:space="preserve"> the regulatory impact on different types and sizes of applicant and ensure, without compromising key principles, it does not unduly hinder </w:t>
      </w:r>
      <w:r>
        <w:rPr>
          <w:sz w:val="24"/>
        </w:rPr>
        <w:t>the activity</w:t>
      </w:r>
      <w:r w:rsidRPr="0053417C">
        <w:rPr>
          <w:sz w:val="24"/>
        </w:rPr>
        <w:t>.</w:t>
      </w:r>
    </w:p>
    <w:p w14:paraId="397BCB1A" w14:textId="77777777" w:rsidR="002C0582" w:rsidRPr="0053417C" w:rsidRDefault="002C0582" w:rsidP="002C0582">
      <w:pPr>
        <w:spacing w:after="120"/>
        <w:rPr>
          <w:rFonts w:cs="Arial"/>
          <w:b/>
          <w:bCs/>
          <w:sz w:val="24"/>
        </w:rPr>
      </w:pPr>
    </w:p>
    <w:p w14:paraId="5D2B82C7" w14:textId="77777777" w:rsidR="002C0582" w:rsidRPr="0053417C" w:rsidRDefault="002C0582" w:rsidP="002C0582">
      <w:pPr>
        <w:spacing w:after="0"/>
        <w:rPr>
          <w:sz w:val="24"/>
        </w:rPr>
      </w:pPr>
      <w:r w:rsidRPr="0053417C">
        <w:rPr>
          <w:rFonts w:cs="Arial"/>
          <w:b/>
          <w:bCs/>
          <w:sz w:val="24"/>
        </w:rPr>
        <w:lastRenderedPageBreak/>
        <w:t>Provision of information</w:t>
      </w:r>
    </w:p>
    <w:p w14:paraId="172E6AA2" w14:textId="7E7889FA" w:rsidR="002C0582" w:rsidRDefault="002C0582" w:rsidP="002C0582">
      <w:pPr>
        <w:spacing w:after="0"/>
        <w:rPr>
          <w:sz w:val="24"/>
        </w:rPr>
      </w:pPr>
      <w:r w:rsidRPr="0053417C">
        <w:rPr>
          <w:sz w:val="24"/>
        </w:rPr>
        <w:t xml:space="preserve">The Commission will keep the </w:t>
      </w:r>
      <w:r>
        <w:rPr>
          <w:sz w:val="24"/>
        </w:rPr>
        <w:t>sector</w:t>
      </w:r>
      <w:r w:rsidRPr="0053417C">
        <w:rPr>
          <w:sz w:val="24"/>
        </w:rPr>
        <w:t xml:space="preserve"> fully informed of the requirements of the regulatory regime and provide general information, advice and guidance, both on request and on its own initiative, with a view to aiding compliance.</w:t>
      </w:r>
    </w:p>
    <w:p w14:paraId="71523AD2" w14:textId="77777777" w:rsidR="002C0582" w:rsidRPr="0053417C" w:rsidRDefault="002C0582" w:rsidP="002C0582">
      <w:pPr>
        <w:spacing w:after="0"/>
        <w:rPr>
          <w:sz w:val="24"/>
        </w:rPr>
      </w:pPr>
    </w:p>
    <w:p w14:paraId="6ABD8731" w14:textId="77777777" w:rsidR="002C0582" w:rsidRPr="0053417C" w:rsidRDefault="002C0582" w:rsidP="002C0582">
      <w:pPr>
        <w:pStyle w:val="Heading3"/>
        <w:spacing w:before="0" w:after="0"/>
        <w:rPr>
          <w:sz w:val="24"/>
          <w:szCs w:val="24"/>
        </w:rPr>
      </w:pPr>
      <w:r w:rsidRPr="0053417C">
        <w:rPr>
          <w:sz w:val="24"/>
          <w:szCs w:val="24"/>
        </w:rPr>
        <w:t>Complaints</w:t>
      </w:r>
    </w:p>
    <w:p w14:paraId="03F84170" w14:textId="77777777" w:rsidR="002C0582" w:rsidRPr="0053417C" w:rsidRDefault="002C0582" w:rsidP="002C0582">
      <w:pPr>
        <w:spacing w:after="0"/>
        <w:rPr>
          <w:sz w:val="24"/>
        </w:rPr>
      </w:pPr>
      <w:r w:rsidRPr="0053417C">
        <w:rPr>
          <w:sz w:val="24"/>
        </w:rPr>
        <w:t xml:space="preserve">The Commission will treat all complaints seriously and will address them in accordance with its </w:t>
      </w:r>
      <w:proofErr w:type="gramStart"/>
      <w:r w:rsidRPr="0053417C">
        <w:rPr>
          <w:sz w:val="24"/>
        </w:rPr>
        <w:t>complaints</w:t>
      </w:r>
      <w:proofErr w:type="gramEnd"/>
      <w:r w:rsidRPr="0053417C">
        <w:rPr>
          <w:sz w:val="24"/>
        </w:rPr>
        <w:t xml:space="preserve"> procedure. </w:t>
      </w:r>
    </w:p>
    <w:p w14:paraId="65F328F9" w14:textId="77777777" w:rsidR="002C0582" w:rsidRPr="0053417C" w:rsidRDefault="002C0582" w:rsidP="002C0582">
      <w:pPr>
        <w:pStyle w:val="Heading3"/>
        <w:spacing w:before="0" w:after="0"/>
        <w:rPr>
          <w:sz w:val="24"/>
          <w:szCs w:val="24"/>
        </w:rPr>
      </w:pPr>
    </w:p>
    <w:p w14:paraId="3C77B6A4" w14:textId="77777777" w:rsidR="002C0582" w:rsidRPr="0053417C" w:rsidRDefault="002C0582" w:rsidP="002C0582">
      <w:pPr>
        <w:pStyle w:val="Heading3"/>
        <w:spacing w:before="0" w:after="0"/>
        <w:rPr>
          <w:sz w:val="24"/>
          <w:szCs w:val="24"/>
        </w:rPr>
      </w:pPr>
      <w:r w:rsidRPr="0053417C">
        <w:rPr>
          <w:sz w:val="24"/>
          <w:szCs w:val="24"/>
        </w:rPr>
        <w:t>Adopting a risk-based approach</w:t>
      </w:r>
    </w:p>
    <w:p w14:paraId="57A697C7" w14:textId="77777777" w:rsidR="002C0582" w:rsidRPr="0053417C" w:rsidRDefault="002C0582" w:rsidP="002C0582">
      <w:pPr>
        <w:spacing w:after="0"/>
        <w:rPr>
          <w:sz w:val="24"/>
        </w:rPr>
      </w:pPr>
      <w:r w:rsidRPr="0053417C">
        <w:rPr>
          <w:sz w:val="24"/>
        </w:rPr>
        <w:t>The Commission will adopt a risk-based approach to regulation to ensure that its resources are concentrated where they are needed and can be most effective.</w:t>
      </w:r>
    </w:p>
    <w:p w14:paraId="2D19A435" w14:textId="77777777" w:rsidR="002C0582" w:rsidRPr="0053417C" w:rsidRDefault="002C0582" w:rsidP="002C0582">
      <w:pPr>
        <w:pStyle w:val="Heading3"/>
        <w:spacing w:before="0" w:after="0"/>
        <w:rPr>
          <w:sz w:val="24"/>
          <w:szCs w:val="24"/>
        </w:rPr>
      </w:pPr>
    </w:p>
    <w:p w14:paraId="4BBD42D8" w14:textId="77777777" w:rsidR="002C0582" w:rsidRPr="0053417C" w:rsidRDefault="002C0582" w:rsidP="002C0582">
      <w:pPr>
        <w:pStyle w:val="Heading3"/>
        <w:spacing w:before="0" w:after="0"/>
        <w:rPr>
          <w:sz w:val="24"/>
          <w:szCs w:val="24"/>
        </w:rPr>
      </w:pPr>
      <w:r w:rsidRPr="0053417C">
        <w:rPr>
          <w:sz w:val="24"/>
          <w:szCs w:val="24"/>
        </w:rPr>
        <w:t>Proportionality</w:t>
      </w:r>
    </w:p>
    <w:p w14:paraId="36BA3E26" w14:textId="77777777" w:rsidR="002C0582" w:rsidRPr="0053417C" w:rsidRDefault="002C0582" w:rsidP="002C0582">
      <w:pPr>
        <w:spacing w:after="0"/>
        <w:rPr>
          <w:sz w:val="24"/>
        </w:rPr>
      </w:pPr>
      <w:r w:rsidRPr="0053417C">
        <w:rPr>
          <w:sz w:val="24"/>
        </w:rPr>
        <w:t xml:space="preserve">The Commission will generally use the least intrusive regulatory tool to achieve compliance and will ensure that any action is proportionate to the importance of the matters to which it relates, having regard to </w:t>
      </w:r>
      <w:r>
        <w:rPr>
          <w:sz w:val="24"/>
        </w:rPr>
        <w:t>any</w:t>
      </w:r>
      <w:r w:rsidRPr="0053417C">
        <w:rPr>
          <w:sz w:val="24"/>
        </w:rPr>
        <w:t xml:space="preserve"> risk assessment.</w:t>
      </w:r>
    </w:p>
    <w:p w14:paraId="21EEFDF1" w14:textId="77777777" w:rsidR="002C0582" w:rsidRPr="0053417C" w:rsidRDefault="002C0582" w:rsidP="002C0582">
      <w:pPr>
        <w:pStyle w:val="Heading3"/>
        <w:spacing w:before="0" w:after="0"/>
        <w:rPr>
          <w:sz w:val="24"/>
          <w:szCs w:val="24"/>
        </w:rPr>
      </w:pPr>
    </w:p>
    <w:p w14:paraId="6890BAA0" w14:textId="77777777" w:rsidR="002C0582" w:rsidRPr="0053417C" w:rsidRDefault="002C0582" w:rsidP="002C0582">
      <w:pPr>
        <w:pStyle w:val="Heading3"/>
        <w:spacing w:before="0" w:after="0"/>
        <w:rPr>
          <w:sz w:val="24"/>
          <w:szCs w:val="24"/>
        </w:rPr>
      </w:pPr>
      <w:r w:rsidRPr="0053417C">
        <w:rPr>
          <w:sz w:val="24"/>
          <w:szCs w:val="24"/>
        </w:rPr>
        <w:t>Publication of regulatory action</w:t>
      </w:r>
    </w:p>
    <w:p w14:paraId="13546F2F" w14:textId="77777777" w:rsidR="002C0582" w:rsidRPr="0053417C" w:rsidRDefault="002C0582" w:rsidP="002C0582">
      <w:pPr>
        <w:spacing w:after="0"/>
        <w:rPr>
          <w:sz w:val="24"/>
        </w:rPr>
      </w:pPr>
      <w:r w:rsidRPr="0053417C">
        <w:rPr>
          <w:sz w:val="24"/>
        </w:rPr>
        <w:t>The Commission will publish details of any regulatory action taken, except where it considers that this may have a disproportionately damaging effect.</w:t>
      </w:r>
    </w:p>
    <w:p w14:paraId="293A167F" w14:textId="77777777" w:rsidR="002C0582" w:rsidRPr="0053417C" w:rsidRDefault="002C0582" w:rsidP="002C0582">
      <w:pPr>
        <w:pStyle w:val="Heading3"/>
        <w:spacing w:before="0" w:after="0"/>
        <w:rPr>
          <w:sz w:val="24"/>
          <w:szCs w:val="24"/>
        </w:rPr>
      </w:pPr>
    </w:p>
    <w:p w14:paraId="347DD75C" w14:textId="77777777" w:rsidR="002C0582" w:rsidRPr="0053417C" w:rsidRDefault="002C0582" w:rsidP="002C0582">
      <w:pPr>
        <w:spacing w:after="0"/>
        <w:rPr>
          <w:rStyle w:val="StyleItalic"/>
          <w:sz w:val="24"/>
        </w:rPr>
      </w:pPr>
      <w:r w:rsidRPr="0053417C">
        <w:rPr>
          <w:b/>
          <w:iCs/>
          <w:sz w:val="24"/>
        </w:rPr>
        <w:t>Gambling should be verifiably fair to consumers of those services.</w:t>
      </w:r>
    </w:p>
    <w:p w14:paraId="5ABBBA5D" w14:textId="77777777" w:rsidR="002C0582" w:rsidRPr="0053417C" w:rsidRDefault="002C0582" w:rsidP="002C0582">
      <w:pPr>
        <w:rPr>
          <w:sz w:val="24"/>
        </w:rPr>
      </w:pPr>
      <w:r w:rsidRPr="0053417C">
        <w:rPr>
          <w:sz w:val="24"/>
        </w:rPr>
        <w:t xml:space="preserve">The Commission must ensure that </w:t>
      </w:r>
      <w:r>
        <w:rPr>
          <w:sz w:val="24"/>
        </w:rPr>
        <w:t>promoters</w:t>
      </w:r>
      <w:r w:rsidRPr="0053417C">
        <w:rPr>
          <w:sz w:val="24"/>
        </w:rPr>
        <w:t xml:space="preserve"> </w:t>
      </w:r>
      <w:r>
        <w:rPr>
          <w:sz w:val="24"/>
        </w:rPr>
        <w:t xml:space="preserve">of charitable gambling </w:t>
      </w:r>
      <w:r w:rsidRPr="0053417C">
        <w:rPr>
          <w:sz w:val="24"/>
        </w:rPr>
        <w:t xml:space="preserve">provide rules that are fair and clearly understandable. </w:t>
      </w:r>
    </w:p>
    <w:p w14:paraId="6EE968BC" w14:textId="77777777" w:rsidR="002C0582" w:rsidRPr="0053417C" w:rsidRDefault="002C0582" w:rsidP="002C0582">
      <w:pPr>
        <w:rPr>
          <w:sz w:val="24"/>
        </w:rPr>
      </w:pPr>
      <w:r w:rsidRPr="0053417C">
        <w:rPr>
          <w:sz w:val="24"/>
        </w:rPr>
        <w:t xml:space="preserve">It </w:t>
      </w:r>
      <w:r>
        <w:rPr>
          <w:sz w:val="24"/>
        </w:rPr>
        <w:t>is</w:t>
      </w:r>
      <w:r w:rsidRPr="0053417C">
        <w:rPr>
          <w:sz w:val="24"/>
        </w:rPr>
        <w:t xml:space="preserve"> a requirement for </w:t>
      </w:r>
      <w:r>
        <w:rPr>
          <w:sz w:val="24"/>
        </w:rPr>
        <w:t>promoters</w:t>
      </w:r>
      <w:r w:rsidRPr="0053417C">
        <w:rPr>
          <w:sz w:val="24"/>
        </w:rPr>
        <w:t xml:space="preserve"> to make public the results of events and competitions on which charitable gambling takes place.</w:t>
      </w:r>
    </w:p>
    <w:p w14:paraId="0B63E42B" w14:textId="77777777" w:rsidR="002C0582" w:rsidRPr="0053417C" w:rsidRDefault="002C0582" w:rsidP="002C0582">
      <w:pPr>
        <w:rPr>
          <w:sz w:val="24"/>
        </w:rPr>
      </w:pPr>
      <w:r w:rsidRPr="0053417C">
        <w:rPr>
          <w:sz w:val="24"/>
        </w:rPr>
        <w:t xml:space="preserve">The Commission will ensure that the </w:t>
      </w:r>
      <w:r>
        <w:rPr>
          <w:sz w:val="24"/>
        </w:rPr>
        <w:t>Permits</w:t>
      </w:r>
      <w:r w:rsidRPr="0053417C">
        <w:rPr>
          <w:sz w:val="24"/>
        </w:rPr>
        <w:t xml:space="preserve"> it issues, together with the conditions it imposes and the codes of practice it publishes, set approp</w:t>
      </w:r>
      <w:r>
        <w:rPr>
          <w:sz w:val="24"/>
        </w:rPr>
        <w:t>riate standards of conduct for Permit</w:t>
      </w:r>
      <w:r w:rsidRPr="0053417C">
        <w:rPr>
          <w:sz w:val="24"/>
        </w:rPr>
        <w:t xml:space="preserve"> holders, in connection with any </w:t>
      </w:r>
      <w:r>
        <w:rPr>
          <w:sz w:val="24"/>
        </w:rPr>
        <w:t>permitted</w:t>
      </w:r>
      <w:r w:rsidRPr="0053417C">
        <w:rPr>
          <w:sz w:val="24"/>
        </w:rPr>
        <w:t xml:space="preserve"> activity.</w:t>
      </w:r>
    </w:p>
    <w:p w14:paraId="12350071" w14:textId="77777777" w:rsidR="002C0582" w:rsidRDefault="002C0582" w:rsidP="002C0582">
      <w:pPr>
        <w:rPr>
          <w:sz w:val="24"/>
        </w:rPr>
      </w:pPr>
      <w:r w:rsidRPr="0053417C">
        <w:rPr>
          <w:sz w:val="24"/>
        </w:rPr>
        <w:t xml:space="preserve">In the event of non-compliance, the Commission will ensure that conditions are imposed that deter future non-compliance on the part of the </w:t>
      </w:r>
      <w:r>
        <w:rPr>
          <w:sz w:val="24"/>
        </w:rPr>
        <w:t>Permit</w:t>
      </w:r>
      <w:r w:rsidRPr="0053417C">
        <w:rPr>
          <w:sz w:val="24"/>
        </w:rPr>
        <w:t xml:space="preserve"> holder.</w:t>
      </w:r>
      <w:r>
        <w:rPr>
          <w:sz w:val="24"/>
        </w:rPr>
        <w:t xml:space="preserve">  </w:t>
      </w:r>
    </w:p>
    <w:p w14:paraId="165EB915" w14:textId="77777777" w:rsidR="002C0582" w:rsidRPr="0053417C" w:rsidRDefault="002C0582" w:rsidP="002C0582">
      <w:pPr>
        <w:rPr>
          <w:sz w:val="24"/>
        </w:rPr>
      </w:pPr>
      <w:r>
        <w:rPr>
          <w:sz w:val="24"/>
        </w:rPr>
        <w:t>It should be noted that non-adherence to the Regulations is a criminal matter and that any breach may be reported to and become the subject of a criminal investigation leading to prosecution.</w:t>
      </w:r>
    </w:p>
    <w:p w14:paraId="2D2D0EB4" w14:textId="77777777" w:rsidR="000F6D73" w:rsidRDefault="000F6D73" w:rsidP="005D1E32">
      <w:pPr>
        <w:spacing w:after="0"/>
        <w:rPr>
          <w:b/>
          <w:sz w:val="24"/>
        </w:rPr>
      </w:pPr>
    </w:p>
    <w:p w14:paraId="07CC5D49" w14:textId="77777777" w:rsidR="002C0582" w:rsidRDefault="002C0582" w:rsidP="005D1E32">
      <w:pPr>
        <w:spacing w:after="0"/>
        <w:rPr>
          <w:b/>
          <w:sz w:val="24"/>
        </w:rPr>
      </w:pPr>
    </w:p>
    <w:p w14:paraId="55E5DDA8" w14:textId="77777777" w:rsidR="002C0582" w:rsidRDefault="002C0582" w:rsidP="005D1E32">
      <w:pPr>
        <w:spacing w:after="0"/>
        <w:rPr>
          <w:b/>
          <w:sz w:val="24"/>
        </w:rPr>
      </w:pPr>
    </w:p>
    <w:p w14:paraId="25C52CD7" w14:textId="77777777" w:rsidR="002C0582" w:rsidRDefault="002C0582" w:rsidP="005D1E32">
      <w:pPr>
        <w:spacing w:after="0"/>
        <w:rPr>
          <w:b/>
          <w:sz w:val="24"/>
        </w:rPr>
      </w:pPr>
    </w:p>
    <w:p w14:paraId="3639E76B" w14:textId="77777777" w:rsidR="002C0582" w:rsidRDefault="002C0582" w:rsidP="005D1E32">
      <w:pPr>
        <w:spacing w:after="0"/>
        <w:rPr>
          <w:b/>
          <w:sz w:val="24"/>
        </w:rPr>
      </w:pPr>
    </w:p>
    <w:p w14:paraId="67FA6A65" w14:textId="77777777" w:rsidR="002C0582" w:rsidRDefault="002C0582" w:rsidP="005D1E32">
      <w:pPr>
        <w:spacing w:after="0"/>
        <w:rPr>
          <w:b/>
          <w:sz w:val="24"/>
        </w:rPr>
      </w:pPr>
    </w:p>
    <w:p w14:paraId="370E6802" w14:textId="77777777" w:rsidR="002C0582" w:rsidRDefault="002C0582" w:rsidP="005D1E32">
      <w:pPr>
        <w:spacing w:after="0"/>
        <w:rPr>
          <w:b/>
          <w:sz w:val="24"/>
        </w:rPr>
      </w:pPr>
    </w:p>
    <w:p w14:paraId="568B4F05" w14:textId="77777777" w:rsidR="002C0582" w:rsidRDefault="002C0582" w:rsidP="005D1E32">
      <w:pPr>
        <w:spacing w:after="0"/>
        <w:rPr>
          <w:b/>
          <w:sz w:val="24"/>
        </w:rPr>
      </w:pPr>
    </w:p>
    <w:p w14:paraId="34777890" w14:textId="77777777" w:rsidR="002C0582" w:rsidRDefault="002C0582" w:rsidP="005D1E32">
      <w:pPr>
        <w:spacing w:after="0"/>
        <w:rPr>
          <w:b/>
          <w:sz w:val="24"/>
        </w:rPr>
      </w:pPr>
    </w:p>
    <w:p w14:paraId="7E2BB069" w14:textId="77777777" w:rsidR="002C0582" w:rsidRDefault="002C0582" w:rsidP="005D1E32">
      <w:pPr>
        <w:spacing w:after="0"/>
        <w:rPr>
          <w:b/>
          <w:sz w:val="24"/>
        </w:rPr>
      </w:pPr>
    </w:p>
    <w:p w14:paraId="563A4BE9" w14:textId="77777777" w:rsidR="002C0582" w:rsidRDefault="002C0582" w:rsidP="005D1E32">
      <w:pPr>
        <w:spacing w:after="0"/>
        <w:rPr>
          <w:b/>
          <w:sz w:val="24"/>
        </w:rPr>
      </w:pPr>
    </w:p>
    <w:p w14:paraId="4630ECA6" w14:textId="77777777" w:rsidR="002C0582" w:rsidRDefault="002C0582" w:rsidP="005D1E32">
      <w:pPr>
        <w:spacing w:after="0"/>
        <w:rPr>
          <w:b/>
          <w:sz w:val="24"/>
        </w:rPr>
      </w:pPr>
    </w:p>
    <w:p w14:paraId="5EEE87C9" w14:textId="77777777" w:rsidR="002C0582" w:rsidRDefault="002C0582" w:rsidP="005D1E32">
      <w:pPr>
        <w:spacing w:after="0"/>
        <w:rPr>
          <w:b/>
          <w:sz w:val="24"/>
        </w:rPr>
      </w:pPr>
    </w:p>
    <w:p w14:paraId="3983BE74" w14:textId="77777777" w:rsidR="002C0582" w:rsidRDefault="002C0582" w:rsidP="005D1E32">
      <w:pPr>
        <w:spacing w:after="0"/>
        <w:rPr>
          <w:b/>
          <w:sz w:val="24"/>
        </w:rPr>
      </w:pPr>
    </w:p>
    <w:p w14:paraId="1D89A42C" w14:textId="77777777" w:rsidR="002C0582" w:rsidRDefault="002C0582" w:rsidP="005D1E32">
      <w:pPr>
        <w:spacing w:after="0"/>
        <w:rPr>
          <w:b/>
          <w:sz w:val="24"/>
        </w:rPr>
      </w:pPr>
    </w:p>
    <w:p w14:paraId="5CB2495D" w14:textId="0E2E33E6" w:rsidR="005D1E32" w:rsidRDefault="005D1E32" w:rsidP="005D1E32">
      <w:pPr>
        <w:spacing w:after="0"/>
        <w:rPr>
          <w:b/>
          <w:sz w:val="24"/>
        </w:rPr>
      </w:pPr>
      <w:r>
        <w:rPr>
          <w:b/>
          <w:sz w:val="24"/>
        </w:rPr>
        <w:t>Overview</w:t>
      </w:r>
    </w:p>
    <w:p w14:paraId="3EB55A9D" w14:textId="77777777" w:rsidR="005D1E32" w:rsidRPr="006E41A7" w:rsidRDefault="005D1E32" w:rsidP="005D1E32">
      <w:pPr>
        <w:spacing w:after="0"/>
        <w:rPr>
          <w:sz w:val="24"/>
        </w:rPr>
      </w:pPr>
      <w:r>
        <w:rPr>
          <w:sz w:val="24"/>
        </w:rPr>
        <w:t>There are</w:t>
      </w:r>
      <w:r w:rsidRPr="006E41A7">
        <w:rPr>
          <w:sz w:val="24"/>
        </w:rPr>
        <w:t xml:space="preserve"> 3 categories of ‘good cause’ gambling. These are based on how much the prize or prizes on offer are worth </w:t>
      </w:r>
      <w:r w:rsidRPr="00CF1FF3">
        <w:rPr>
          <w:b/>
          <w:sz w:val="24"/>
        </w:rPr>
        <w:t>AND</w:t>
      </w:r>
      <w:r w:rsidRPr="006E41A7">
        <w:rPr>
          <w:sz w:val="24"/>
        </w:rPr>
        <w:t xml:space="preserve"> how often a club or society wants to </w:t>
      </w:r>
      <w:r>
        <w:rPr>
          <w:sz w:val="24"/>
        </w:rPr>
        <w:t xml:space="preserve">use </w:t>
      </w:r>
      <w:r w:rsidRPr="006E41A7">
        <w:rPr>
          <w:sz w:val="24"/>
        </w:rPr>
        <w:t>gambli</w:t>
      </w:r>
      <w:r>
        <w:rPr>
          <w:sz w:val="24"/>
        </w:rPr>
        <w:t>ng to raise funds</w:t>
      </w:r>
      <w:r w:rsidRPr="006E41A7">
        <w:rPr>
          <w:sz w:val="24"/>
        </w:rPr>
        <w:t xml:space="preserve">. </w:t>
      </w:r>
    </w:p>
    <w:p w14:paraId="4E620D1B" w14:textId="77777777" w:rsidR="005D1E32" w:rsidRPr="006E41A7" w:rsidRDefault="005D1E32" w:rsidP="005D1E32">
      <w:pPr>
        <w:spacing w:after="0"/>
        <w:rPr>
          <w:sz w:val="24"/>
        </w:rPr>
      </w:pPr>
    </w:p>
    <w:p w14:paraId="229D9702" w14:textId="77777777" w:rsidR="005D1E32" w:rsidRPr="006E41A7" w:rsidRDefault="005D1E32" w:rsidP="005D1E32">
      <w:pPr>
        <w:spacing w:after="0"/>
        <w:rPr>
          <w:sz w:val="24"/>
        </w:rPr>
      </w:pPr>
      <w:r w:rsidRPr="006E41A7">
        <w:rPr>
          <w:sz w:val="24"/>
        </w:rPr>
        <w:t>The 3 categories are:</w:t>
      </w:r>
    </w:p>
    <w:p w14:paraId="12B6E52C" w14:textId="77777777" w:rsidR="005D1E32" w:rsidRPr="006E41A7" w:rsidRDefault="005D1E32" w:rsidP="005D1E32">
      <w:pPr>
        <w:spacing w:after="0"/>
        <w:rPr>
          <w:sz w:val="24"/>
        </w:rPr>
      </w:pPr>
    </w:p>
    <w:p w14:paraId="0D827A5E" w14:textId="77777777" w:rsidR="005D1E32" w:rsidRPr="006E41A7" w:rsidRDefault="005D1E32" w:rsidP="005D1E32">
      <w:pPr>
        <w:spacing w:after="0"/>
        <w:rPr>
          <w:sz w:val="24"/>
        </w:rPr>
      </w:pPr>
      <w:r w:rsidRPr="006E41A7">
        <w:rPr>
          <w:b/>
          <w:sz w:val="24"/>
        </w:rPr>
        <w:t>Exempt</w:t>
      </w:r>
    </w:p>
    <w:p w14:paraId="619D1029" w14:textId="77777777" w:rsidR="005D1E32" w:rsidRPr="006E41A7" w:rsidRDefault="005D1E32" w:rsidP="005D1E32">
      <w:pPr>
        <w:spacing w:after="0"/>
        <w:rPr>
          <w:sz w:val="24"/>
        </w:rPr>
      </w:pPr>
      <w:r w:rsidRPr="006E41A7">
        <w:rPr>
          <w:sz w:val="24"/>
        </w:rPr>
        <w:t xml:space="preserve">This category is for occasional or ‘one-off’ gambling promotions where the total value </w:t>
      </w:r>
      <w:r>
        <w:rPr>
          <w:sz w:val="24"/>
        </w:rPr>
        <w:t>any</w:t>
      </w:r>
      <w:r w:rsidRPr="006E41A7">
        <w:rPr>
          <w:sz w:val="24"/>
        </w:rPr>
        <w:t xml:space="preserve"> prize</w:t>
      </w:r>
      <w:r>
        <w:rPr>
          <w:sz w:val="24"/>
        </w:rPr>
        <w:t>s</w:t>
      </w:r>
      <w:r w:rsidRPr="006E41A7">
        <w:rPr>
          <w:sz w:val="24"/>
        </w:rPr>
        <w:t xml:space="preserve"> does not exceed £1500 and no more than 3 </w:t>
      </w:r>
      <w:r>
        <w:rPr>
          <w:sz w:val="24"/>
        </w:rPr>
        <w:t>events</w:t>
      </w:r>
      <w:r w:rsidRPr="006E41A7">
        <w:rPr>
          <w:sz w:val="24"/>
        </w:rPr>
        <w:t xml:space="preserve"> (</w:t>
      </w:r>
      <w:r>
        <w:rPr>
          <w:sz w:val="24"/>
        </w:rPr>
        <w:t>lotteries/raffles, bingo etc.</w:t>
      </w:r>
      <w:r w:rsidRPr="006E41A7">
        <w:rPr>
          <w:sz w:val="24"/>
        </w:rPr>
        <w:t xml:space="preserve">) a year are promoted. More information on prizes appears later on in this </w:t>
      </w:r>
      <w:r>
        <w:rPr>
          <w:sz w:val="24"/>
        </w:rPr>
        <w:t>policy</w:t>
      </w:r>
      <w:r w:rsidRPr="006E41A7">
        <w:rPr>
          <w:sz w:val="24"/>
        </w:rPr>
        <w:t xml:space="preserve">. </w:t>
      </w:r>
    </w:p>
    <w:p w14:paraId="6181CE95" w14:textId="77777777" w:rsidR="005D1E32" w:rsidRPr="006E41A7" w:rsidRDefault="005D1E32" w:rsidP="005D1E32">
      <w:pPr>
        <w:spacing w:after="0"/>
        <w:rPr>
          <w:sz w:val="24"/>
        </w:rPr>
      </w:pPr>
    </w:p>
    <w:p w14:paraId="4BDF143A" w14:textId="77777777" w:rsidR="005D1E32" w:rsidRPr="006E41A7" w:rsidRDefault="005D1E32" w:rsidP="005D1E32">
      <w:pPr>
        <w:spacing w:after="0"/>
        <w:rPr>
          <w:sz w:val="24"/>
        </w:rPr>
      </w:pPr>
      <w:r w:rsidRPr="006E41A7">
        <w:rPr>
          <w:b/>
          <w:sz w:val="24"/>
        </w:rPr>
        <w:t>Registered</w:t>
      </w:r>
    </w:p>
    <w:p w14:paraId="4817D6B4" w14:textId="77777777" w:rsidR="005D1E32" w:rsidRDefault="005D1E32" w:rsidP="005D1E32">
      <w:pPr>
        <w:spacing w:after="0"/>
        <w:rPr>
          <w:sz w:val="24"/>
        </w:rPr>
      </w:pPr>
      <w:r w:rsidRPr="006E41A7">
        <w:rPr>
          <w:sz w:val="24"/>
        </w:rPr>
        <w:t xml:space="preserve">This is the most common category as it deals with regularly held, small to medium scale fundraising using gambling promotions. If you use gambling to raise funds more than 3 times a year, or at any time offer prizes in excess of £1,500 but no more than £12,000, then you must register with the Commission. </w:t>
      </w:r>
    </w:p>
    <w:p w14:paraId="559484DE" w14:textId="77777777" w:rsidR="005D1E32" w:rsidRDefault="005D1E32" w:rsidP="005D1E32">
      <w:pPr>
        <w:spacing w:after="0"/>
        <w:rPr>
          <w:sz w:val="24"/>
        </w:rPr>
      </w:pPr>
    </w:p>
    <w:p w14:paraId="3DBA0B72" w14:textId="77777777" w:rsidR="005D1E32" w:rsidRPr="00A93D28" w:rsidRDefault="005D1E32" w:rsidP="005D1E32">
      <w:pPr>
        <w:spacing w:after="0"/>
        <w:rPr>
          <w:sz w:val="24"/>
        </w:rPr>
      </w:pPr>
      <w:r>
        <w:rPr>
          <w:sz w:val="24"/>
        </w:rPr>
        <w:t>The Commission will r</w:t>
      </w:r>
      <w:r w:rsidRPr="00A93D28">
        <w:rPr>
          <w:sz w:val="24"/>
        </w:rPr>
        <w:t xml:space="preserve">egister a </w:t>
      </w:r>
      <w:r w:rsidRPr="00326418">
        <w:rPr>
          <w:sz w:val="24"/>
        </w:rPr>
        <w:t>charity, club or society</w:t>
      </w:r>
      <w:r>
        <w:rPr>
          <w:b/>
          <w:sz w:val="24"/>
        </w:rPr>
        <w:t xml:space="preserve"> </w:t>
      </w:r>
      <w:r>
        <w:rPr>
          <w:sz w:val="24"/>
        </w:rPr>
        <w:t xml:space="preserve">if it </w:t>
      </w:r>
      <w:r w:rsidRPr="00A93D28">
        <w:rPr>
          <w:sz w:val="24"/>
        </w:rPr>
        <w:t xml:space="preserve">complies with the provisions of </w:t>
      </w:r>
      <w:r w:rsidRPr="004B0498">
        <w:rPr>
          <w:b/>
          <w:sz w:val="24"/>
        </w:rPr>
        <w:t>Regulation 5</w:t>
      </w:r>
      <w:r w:rsidRPr="00A93D28">
        <w:rPr>
          <w:sz w:val="24"/>
        </w:rPr>
        <w:t xml:space="preserve"> of the </w:t>
      </w:r>
      <w:r w:rsidRPr="004B0498">
        <w:rPr>
          <w:b/>
          <w:sz w:val="24"/>
        </w:rPr>
        <w:t>Gambling (Charitable and Membership) (Jersey) Regulations 2012</w:t>
      </w:r>
      <w:r>
        <w:rPr>
          <w:sz w:val="24"/>
        </w:rPr>
        <w:t xml:space="preserve"> (this is explained further on in this document)</w:t>
      </w:r>
      <w:r w:rsidRPr="00A93D28">
        <w:rPr>
          <w:sz w:val="24"/>
        </w:rPr>
        <w:t xml:space="preserve">.  The Commission will </w:t>
      </w:r>
      <w:r>
        <w:rPr>
          <w:sz w:val="24"/>
        </w:rPr>
        <w:t>refuse to register or revoke a R</w:t>
      </w:r>
      <w:r w:rsidRPr="00A93D28">
        <w:rPr>
          <w:sz w:val="24"/>
        </w:rPr>
        <w:t xml:space="preserve">egistration </w:t>
      </w:r>
      <w:r>
        <w:rPr>
          <w:sz w:val="24"/>
        </w:rPr>
        <w:t>if it fails to comply with the</w:t>
      </w:r>
      <w:r w:rsidRPr="00A93D28">
        <w:rPr>
          <w:sz w:val="24"/>
        </w:rPr>
        <w:t xml:space="preserve"> provisions of Regulation 5.</w:t>
      </w:r>
    </w:p>
    <w:p w14:paraId="2555E33E" w14:textId="77777777" w:rsidR="005D1E32" w:rsidRPr="006E41A7" w:rsidRDefault="005D1E32" w:rsidP="005D1E32">
      <w:pPr>
        <w:spacing w:after="0"/>
        <w:rPr>
          <w:sz w:val="24"/>
        </w:rPr>
      </w:pPr>
    </w:p>
    <w:p w14:paraId="6AFB784B" w14:textId="77777777" w:rsidR="005D1E32" w:rsidRPr="006E41A7" w:rsidRDefault="005D1E32" w:rsidP="005D1E32">
      <w:pPr>
        <w:spacing w:after="0"/>
        <w:rPr>
          <w:sz w:val="24"/>
        </w:rPr>
      </w:pPr>
      <w:r w:rsidRPr="006E41A7">
        <w:rPr>
          <w:b/>
          <w:sz w:val="24"/>
        </w:rPr>
        <w:t>Permit</w:t>
      </w:r>
    </w:p>
    <w:p w14:paraId="4C42CCFB" w14:textId="77777777" w:rsidR="005D1E32" w:rsidRPr="006E41A7" w:rsidRDefault="005D1E32" w:rsidP="005D1E32">
      <w:pPr>
        <w:spacing w:after="0"/>
        <w:rPr>
          <w:sz w:val="24"/>
        </w:rPr>
      </w:pPr>
      <w:r w:rsidRPr="006E41A7">
        <w:rPr>
          <w:sz w:val="24"/>
        </w:rPr>
        <w:t xml:space="preserve">A Permit is required if </w:t>
      </w:r>
      <w:r>
        <w:rPr>
          <w:sz w:val="24"/>
        </w:rPr>
        <w:t>the value of prizes</w:t>
      </w:r>
      <w:r w:rsidRPr="006E41A7">
        <w:rPr>
          <w:sz w:val="24"/>
        </w:rPr>
        <w:t xml:space="preserve"> exceed</w:t>
      </w:r>
      <w:r>
        <w:rPr>
          <w:sz w:val="24"/>
        </w:rPr>
        <w:t>s</w:t>
      </w:r>
      <w:r w:rsidRPr="006E41A7">
        <w:rPr>
          <w:sz w:val="24"/>
        </w:rPr>
        <w:t xml:space="preserve"> £12,000 per event. </w:t>
      </w:r>
    </w:p>
    <w:p w14:paraId="5BCDC99A" w14:textId="77777777" w:rsidR="002C0582" w:rsidRDefault="002C0582" w:rsidP="005D1E32">
      <w:pPr>
        <w:spacing w:after="0"/>
        <w:rPr>
          <w:sz w:val="24"/>
        </w:rPr>
      </w:pPr>
    </w:p>
    <w:p w14:paraId="1DD29AED" w14:textId="7C47712D" w:rsidR="005D1E32" w:rsidRPr="005D1E32" w:rsidRDefault="005D1E32" w:rsidP="005D1E32">
      <w:pPr>
        <w:spacing w:after="0"/>
        <w:rPr>
          <w:sz w:val="24"/>
        </w:rPr>
      </w:pPr>
      <w:r w:rsidRPr="00326418">
        <w:rPr>
          <w:sz w:val="24"/>
        </w:rPr>
        <w:t xml:space="preserve">The Commission will generally grant a permit to a charity, club or society if it complies with the provisions of Regulation 5 of the Gambling (Charitable and Membership) (Jersey) Regulations 2012. </w:t>
      </w:r>
      <w:r>
        <w:rPr>
          <w:sz w:val="24"/>
        </w:rPr>
        <w:t>A</w:t>
      </w:r>
      <w:r w:rsidRPr="00326418">
        <w:rPr>
          <w:sz w:val="24"/>
        </w:rPr>
        <w:t xml:space="preserve"> grant will </w:t>
      </w:r>
      <w:r>
        <w:rPr>
          <w:sz w:val="24"/>
        </w:rPr>
        <w:t xml:space="preserve">be conditional upon the </w:t>
      </w:r>
      <w:r w:rsidRPr="00326418">
        <w:rPr>
          <w:sz w:val="24"/>
        </w:rPr>
        <w:t xml:space="preserve">applicant </w:t>
      </w:r>
      <w:r>
        <w:rPr>
          <w:sz w:val="24"/>
        </w:rPr>
        <w:t xml:space="preserve">satisfying </w:t>
      </w:r>
      <w:r w:rsidRPr="00326418">
        <w:rPr>
          <w:sz w:val="24"/>
        </w:rPr>
        <w:t xml:space="preserve">the Commission </w:t>
      </w:r>
      <w:r>
        <w:rPr>
          <w:sz w:val="24"/>
        </w:rPr>
        <w:t xml:space="preserve">it </w:t>
      </w:r>
      <w:r w:rsidRPr="00326418">
        <w:rPr>
          <w:sz w:val="24"/>
        </w:rPr>
        <w:t>has the knowledge</w:t>
      </w:r>
      <w:r>
        <w:rPr>
          <w:sz w:val="24"/>
        </w:rPr>
        <w:t>, skill</w:t>
      </w:r>
      <w:r w:rsidRPr="00326418">
        <w:rPr>
          <w:sz w:val="24"/>
        </w:rPr>
        <w:t xml:space="preserve"> and understanding to conduct charitable gambling </w:t>
      </w:r>
      <w:r>
        <w:rPr>
          <w:sz w:val="24"/>
        </w:rPr>
        <w:t xml:space="preserve">in compliance with the relevant </w:t>
      </w:r>
      <w:r w:rsidRPr="00326418">
        <w:rPr>
          <w:sz w:val="24"/>
        </w:rPr>
        <w:t xml:space="preserve">conditions published </w:t>
      </w:r>
      <w:r>
        <w:rPr>
          <w:sz w:val="24"/>
        </w:rPr>
        <w:t>in this document</w:t>
      </w:r>
      <w:r w:rsidRPr="00326418">
        <w:rPr>
          <w:sz w:val="24"/>
        </w:rPr>
        <w:t xml:space="preserve">.  </w:t>
      </w:r>
    </w:p>
    <w:p w14:paraId="709E5568" w14:textId="4A19A944" w:rsidR="005D1E32" w:rsidRDefault="005D1E32" w:rsidP="005D1E32">
      <w:pPr>
        <w:spacing w:after="0"/>
        <w:rPr>
          <w:b/>
          <w:sz w:val="24"/>
        </w:rPr>
      </w:pPr>
    </w:p>
    <w:p w14:paraId="557F7A08" w14:textId="77777777" w:rsidR="00B56FEB" w:rsidRDefault="00B56FEB" w:rsidP="005D1E32">
      <w:pPr>
        <w:spacing w:after="0"/>
        <w:rPr>
          <w:b/>
          <w:sz w:val="24"/>
        </w:rPr>
      </w:pPr>
    </w:p>
    <w:p w14:paraId="053F6EF8" w14:textId="77777777" w:rsidR="005D1E32" w:rsidRDefault="005D1E32" w:rsidP="005D1E32">
      <w:pPr>
        <w:spacing w:after="0"/>
        <w:rPr>
          <w:b/>
          <w:sz w:val="24"/>
        </w:rPr>
      </w:pPr>
      <w:r>
        <w:rPr>
          <w:b/>
          <w:sz w:val="24"/>
        </w:rPr>
        <w:t>Types of Charitable Gambling</w:t>
      </w:r>
    </w:p>
    <w:p w14:paraId="6D90E10E" w14:textId="77777777" w:rsidR="005D1E32" w:rsidRPr="00A109CB" w:rsidRDefault="005D1E32" w:rsidP="005D1E32">
      <w:pPr>
        <w:spacing w:after="0"/>
        <w:rPr>
          <w:sz w:val="24"/>
        </w:rPr>
      </w:pPr>
      <w:r w:rsidRPr="00A109CB">
        <w:rPr>
          <w:sz w:val="24"/>
        </w:rPr>
        <w:t>The types of charitable gambling generally allowed under a Registration or by Permit are:</w:t>
      </w:r>
    </w:p>
    <w:p w14:paraId="6A16C26E" w14:textId="77777777" w:rsidR="005D1E32" w:rsidRPr="00A109CB" w:rsidRDefault="005D1E32" w:rsidP="005D1E32">
      <w:pPr>
        <w:pStyle w:val="ListParagraph"/>
        <w:numPr>
          <w:ilvl w:val="0"/>
          <w:numId w:val="24"/>
        </w:numPr>
        <w:spacing w:after="0"/>
        <w:rPr>
          <w:sz w:val="24"/>
        </w:rPr>
      </w:pPr>
      <w:r w:rsidRPr="00A109CB">
        <w:rPr>
          <w:sz w:val="24"/>
        </w:rPr>
        <w:t>bingo</w:t>
      </w:r>
    </w:p>
    <w:p w14:paraId="062DE8FB" w14:textId="77777777" w:rsidR="005D1E32" w:rsidRPr="00A109CB" w:rsidRDefault="005D1E32" w:rsidP="005D1E32">
      <w:pPr>
        <w:pStyle w:val="ListParagraph"/>
        <w:numPr>
          <w:ilvl w:val="0"/>
          <w:numId w:val="24"/>
        </w:numPr>
        <w:spacing w:after="0"/>
        <w:rPr>
          <w:sz w:val="24"/>
        </w:rPr>
      </w:pPr>
      <w:r w:rsidRPr="00A109CB">
        <w:rPr>
          <w:sz w:val="24"/>
        </w:rPr>
        <w:t>lotteries</w:t>
      </w:r>
      <w:r>
        <w:rPr>
          <w:sz w:val="24"/>
        </w:rPr>
        <w:t xml:space="preserve"> (including raffles)</w:t>
      </w:r>
    </w:p>
    <w:p w14:paraId="2A4F91B1" w14:textId="77777777" w:rsidR="005D1E32" w:rsidRPr="00A109CB" w:rsidRDefault="005D1E32" w:rsidP="005D1E32">
      <w:pPr>
        <w:pStyle w:val="ListParagraph"/>
        <w:numPr>
          <w:ilvl w:val="0"/>
          <w:numId w:val="24"/>
        </w:numPr>
        <w:spacing w:after="0"/>
        <w:rPr>
          <w:sz w:val="24"/>
        </w:rPr>
      </w:pPr>
      <w:r w:rsidRPr="00A109CB">
        <w:rPr>
          <w:sz w:val="24"/>
        </w:rPr>
        <w:t>cinema racing</w:t>
      </w:r>
    </w:p>
    <w:p w14:paraId="49950918" w14:textId="77777777" w:rsidR="005D1E32" w:rsidRPr="00A109CB" w:rsidRDefault="005D1E32" w:rsidP="005D1E32">
      <w:pPr>
        <w:pStyle w:val="ListParagraph"/>
        <w:numPr>
          <w:ilvl w:val="0"/>
          <w:numId w:val="24"/>
        </w:numPr>
        <w:spacing w:after="0"/>
        <w:rPr>
          <w:sz w:val="24"/>
        </w:rPr>
      </w:pPr>
      <w:r w:rsidRPr="00A109CB">
        <w:rPr>
          <w:sz w:val="24"/>
        </w:rPr>
        <w:t>crown and anchor</w:t>
      </w:r>
      <w:r>
        <w:rPr>
          <w:sz w:val="24"/>
        </w:rPr>
        <w:t xml:space="preserve"> (when conducted by a licenced Crown &amp; Anchor Operator)</w:t>
      </w:r>
      <w:r w:rsidRPr="00A109CB">
        <w:rPr>
          <w:sz w:val="24"/>
        </w:rPr>
        <w:t>; or</w:t>
      </w:r>
    </w:p>
    <w:p w14:paraId="758AB6BB" w14:textId="77777777" w:rsidR="005D1E32" w:rsidRDefault="005D1E32" w:rsidP="005D1E32">
      <w:pPr>
        <w:pStyle w:val="ListParagraph"/>
        <w:numPr>
          <w:ilvl w:val="0"/>
          <w:numId w:val="24"/>
        </w:numPr>
        <w:spacing w:after="0"/>
        <w:rPr>
          <w:sz w:val="24"/>
        </w:rPr>
      </w:pPr>
      <w:r w:rsidRPr="00A109CB">
        <w:rPr>
          <w:sz w:val="24"/>
        </w:rPr>
        <w:t>other types of gambling expressly approved by the Commission.</w:t>
      </w:r>
    </w:p>
    <w:p w14:paraId="0617DD42" w14:textId="77777777" w:rsidR="004F0822" w:rsidRPr="004F0822" w:rsidRDefault="004F0822" w:rsidP="004F0822">
      <w:pPr>
        <w:spacing w:after="0"/>
        <w:rPr>
          <w:sz w:val="24"/>
        </w:rPr>
      </w:pPr>
    </w:p>
    <w:p w14:paraId="2043A7D0" w14:textId="33E3A30F" w:rsidR="004C122E" w:rsidRPr="004C122E" w:rsidRDefault="004F0822" w:rsidP="004C122E">
      <w:pPr>
        <w:spacing w:after="0"/>
        <w:rPr>
          <w:sz w:val="24"/>
        </w:rPr>
      </w:pPr>
      <w:r w:rsidRPr="004C122E">
        <w:rPr>
          <w:sz w:val="24"/>
        </w:rPr>
        <w:lastRenderedPageBreak/>
        <w:t>The Commission also allows</w:t>
      </w:r>
      <w:r w:rsidR="004C122E" w:rsidRPr="004C122E">
        <w:rPr>
          <w:sz w:val="24"/>
        </w:rPr>
        <w:t xml:space="preserve"> for the provision of </w:t>
      </w:r>
      <w:bookmarkStart w:id="0" w:name="_GoBack"/>
      <w:bookmarkEnd w:id="0"/>
      <w:r w:rsidRPr="004C122E">
        <w:rPr>
          <w:sz w:val="24"/>
        </w:rPr>
        <w:t>online ticket sales</w:t>
      </w:r>
      <w:r w:rsidR="004C122E" w:rsidRPr="004C122E">
        <w:rPr>
          <w:sz w:val="24"/>
        </w:rPr>
        <w:t xml:space="preserve">. However, this permission can </w:t>
      </w:r>
      <w:r w:rsidRPr="004C122E">
        <w:rPr>
          <w:sz w:val="24"/>
        </w:rPr>
        <w:t xml:space="preserve">only </w:t>
      </w:r>
      <w:r w:rsidR="004C122E" w:rsidRPr="004C122E">
        <w:rPr>
          <w:sz w:val="24"/>
        </w:rPr>
        <w:t xml:space="preserve">be granted if </w:t>
      </w:r>
      <w:r w:rsidRPr="004C122E">
        <w:rPr>
          <w:sz w:val="24"/>
        </w:rPr>
        <w:t xml:space="preserve">the </w:t>
      </w:r>
      <w:r w:rsidR="004C122E" w:rsidRPr="004C122E">
        <w:rPr>
          <w:sz w:val="24"/>
        </w:rPr>
        <w:t>promoter</w:t>
      </w:r>
      <w:r w:rsidR="00B11080" w:rsidRPr="004C122E">
        <w:rPr>
          <w:sz w:val="24"/>
        </w:rPr>
        <w:t xml:space="preserve"> can</w:t>
      </w:r>
      <w:r w:rsidRPr="004C122E">
        <w:rPr>
          <w:sz w:val="24"/>
        </w:rPr>
        <w:t xml:space="preserve"> </w:t>
      </w:r>
      <w:r w:rsidR="004C122E" w:rsidRPr="004C122E">
        <w:rPr>
          <w:sz w:val="24"/>
        </w:rPr>
        <w:t xml:space="preserve">ensure </w:t>
      </w:r>
      <w:r w:rsidRPr="004C122E">
        <w:rPr>
          <w:sz w:val="24"/>
        </w:rPr>
        <w:t xml:space="preserve">that </w:t>
      </w:r>
      <w:r w:rsidR="004C122E" w:rsidRPr="004C122E">
        <w:rPr>
          <w:sz w:val="24"/>
        </w:rPr>
        <w:t>all</w:t>
      </w:r>
      <w:r w:rsidRPr="004C122E">
        <w:rPr>
          <w:sz w:val="24"/>
        </w:rPr>
        <w:t xml:space="preserve"> ticket purchasers are </w:t>
      </w:r>
      <w:r w:rsidR="00B11080" w:rsidRPr="004C122E">
        <w:rPr>
          <w:sz w:val="24"/>
        </w:rPr>
        <w:t xml:space="preserve">all </w:t>
      </w:r>
      <w:r w:rsidRPr="004C122E">
        <w:rPr>
          <w:sz w:val="24"/>
        </w:rPr>
        <w:t xml:space="preserve">over 18 </w:t>
      </w:r>
      <w:r w:rsidRPr="004C122E">
        <w:rPr>
          <w:b/>
          <w:sz w:val="24"/>
        </w:rPr>
        <w:t>and</w:t>
      </w:r>
      <w:r w:rsidRPr="004C122E">
        <w:rPr>
          <w:sz w:val="24"/>
        </w:rPr>
        <w:t xml:space="preserve"> Jersey residents</w:t>
      </w:r>
      <w:r w:rsidR="00B11080" w:rsidRPr="004C122E">
        <w:rPr>
          <w:sz w:val="24"/>
        </w:rPr>
        <w:t>.</w:t>
      </w:r>
      <w:r w:rsidR="004C122E" w:rsidRPr="004C122E">
        <w:rPr>
          <w:sz w:val="24"/>
        </w:rPr>
        <w:t xml:space="preserve"> Please refer to the relevant chapter in Code of Conduct for Social and Charitable Gambling.</w:t>
      </w:r>
    </w:p>
    <w:p w14:paraId="0EEE959C" w14:textId="0788855B" w:rsidR="000F6D73" w:rsidRDefault="000F6D73" w:rsidP="005D1E32">
      <w:pPr>
        <w:spacing w:after="0"/>
        <w:rPr>
          <w:sz w:val="24"/>
        </w:rPr>
      </w:pPr>
    </w:p>
    <w:p w14:paraId="4A73A8B4" w14:textId="77777777" w:rsidR="00B56FEB" w:rsidRDefault="00B56FEB" w:rsidP="005D1E32">
      <w:pPr>
        <w:spacing w:after="0"/>
        <w:rPr>
          <w:b/>
          <w:sz w:val="24"/>
        </w:rPr>
      </w:pPr>
    </w:p>
    <w:p w14:paraId="5BE2F708" w14:textId="3499E4E3" w:rsidR="005D1E32" w:rsidRPr="004B0498" w:rsidRDefault="005D1E32" w:rsidP="005D1E32">
      <w:pPr>
        <w:spacing w:after="0"/>
        <w:rPr>
          <w:b/>
          <w:sz w:val="24"/>
        </w:rPr>
      </w:pPr>
      <w:r w:rsidRPr="004B0498">
        <w:rPr>
          <w:b/>
          <w:sz w:val="24"/>
        </w:rPr>
        <w:t xml:space="preserve">Refusals </w:t>
      </w:r>
    </w:p>
    <w:p w14:paraId="2D2BDC47" w14:textId="71EE3D89" w:rsidR="005D1E32" w:rsidRDefault="005D1E32" w:rsidP="005D1E32">
      <w:pPr>
        <w:spacing w:after="0"/>
        <w:rPr>
          <w:sz w:val="24"/>
        </w:rPr>
      </w:pPr>
      <w:r w:rsidRPr="00A109CB">
        <w:rPr>
          <w:sz w:val="24"/>
        </w:rPr>
        <w:t>The Commission will generally refuse applicati</w:t>
      </w:r>
      <w:r>
        <w:rPr>
          <w:sz w:val="24"/>
        </w:rPr>
        <w:t>ons, especially for a Permit, if</w:t>
      </w:r>
      <w:r w:rsidRPr="00A109CB">
        <w:rPr>
          <w:sz w:val="24"/>
        </w:rPr>
        <w:t xml:space="preserve"> the applicant</w:t>
      </w:r>
      <w:r>
        <w:rPr>
          <w:sz w:val="24"/>
        </w:rPr>
        <w:t>:</w:t>
      </w:r>
    </w:p>
    <w:p w14:paraId="5BBBB5FE" w14:textId="77777777" w:rsidR="000F6D73" w:rsidRDefault="000F6D73" w:rsidP="005D1E32">
      <w:pPr>
        <w:spacing w:after="0"/>
        <w:rPr>
          <w:sz w:val="24"/>
        </w:rPr>
      </w:pPr>
    </w:p>
    <w:p w14:paraId="06AE58A1" w14:textId="77777777" w:rsidR="005D1E32" w:rsidRPr="00153F7B" w:rsidRDefault="005D1E32" w:rsidP="005D1E32">
      <w:pPr>
        <w:pStyle w:val="ListParagraph"/>
        <w:numPr>
          <w:ilvl w:val="0"/>
          <w:numId w:val="25"/>
        </w:numPr>
        <w:spacing w:after="0"/>
        <w:rPr>
          <w:sz w:val="24"/>
        </w:rPr>
      </w:pPr>
      <w:r w:rsidRPr="00153F7B">
        <w:rPr>
          <w:sz w:val="24"/>
        </w:rPr>
        <w:t xml:space="preserve">does not possess the knowledge and understanding to conduct charitable gambling, </w:t>
      </w:r>
    </w:p>
    <w:p w14:paraId="698ABAE1" w14:textId="77777777" w:rsidR="005D1E32" w:rsidRPr="00153F7B" w:rsidRDefault="005D1E32" w:rsidP="005D1E32">
      <w:pPr>
        <w:pStyle w:val="ListParagraph"/>
        <w:numPr>
          <w:ilvl w:val="0"/>
          <w:numId w:val="25"/>
        </w:numPr>
        <w:spacing w:after="0"/>
        <w:rPr>
          <w:sz w:val="24"/>
        </w:rPr>
      </w:pPr>
      <w:r w:rsidRPr="00153F7B">
        <w:rPr>
          <w:sz w:val="24"/>
        </w:rPr>
        <w:t xml:space="preserve">when an applicant having previously held a Registration or Permit, has not complied with the conditions attached to either of these permissions, </w:t>
      </w:r>
    </w:p>
    <w:p w14:paraId="77460FD4" w14:textId="44B64AFD" w:rsidR="005D1E32" w:rsidRDefault="005D1E32" w:rsidP="0054786D">
      <w:pPr>
        <w:pStyle w:val="ListParagraph"/>
        <w:numPr>
          <w:ilvl w:val="0"/>
          <w:numId w:val="25"/>
        </w:numPr>
        <w:spacing w:after="0"/>
        <w:rPr>
          <w:sz w:val="24"/>
        </w:rPr>
      </w:pPr>
      <w:r>
        <w:rPr>
          <w:sz w:val="24"/>
        </w:rPr>
        <w:t>there are</w:t>
      </w:r>
      <w:r w:rsidRPr="00153F7B">
        <w:rPr>
          <w:sz w:val="24"/>
        </w:rPr>
        <w:t xml:space="preserve"> circumstances </w:t>
      </w:r>
      <w:r>
        <w:rPr>
          <w:sz w:val="24"/>
        </w:rPr>
        <w:t>to reasonably believe</w:t>
      </w:r>
      <w:r w:rsidRPr="00153F7B">
        <w:rPr>
          <w:sz w:val="24"/>
        </w:rPr>
        <w:t xml:space="preserve"> that </w:t>
      </w:r>
      <w:r>
        <w:rPr>
          <w:sz w:val="24"/>
        </w:rPr>
        <w:t>approval</w:t>
      </w:r>
      <w:r w:rsidRPr="00153F7B">
        <w:rPr>
          <w:sz w:val="24"/>
        </w:rPr>
        <w:t xml:space="preserve"> would damage the charitable sector or not be in the public interest.</w:t>
      </w:r>
    </w:p>
    <w:p w14:paraId="2067A753" w14:textId="77777777" w:rsidR="000F6D73" w:rsidRPr="000F6D73" w:rsidRDefault="000F6D73" w:rsidP="000F6D73">
      <w:pPr>
        <w:pStyle w:val="ListParagraph"/>
        <w:spacing w:after="0"/>
        <w:rPr>
          <w:sz w:val="24"/>
        </w:rPr>
      </w:pPr>
    </w:p>
    <w:p w14:paraId="566F3B45" w14:textId="5871C0DB" w:rsidR="007D41E5" w:rsidRDefault="000F6D73" w:rsidP="007D41E5">
      <w:pPr>
        <w:rPr>
          <w:sz w:val="24"/>
        </w:rPr>
      </w:pPr>
      <w:r>
        <w:rPr>
          <w:sz w:val="24"/>
        </w:rPr>
        <w:t>T</w:t>
      </w:r>
      <w:r w:rsidR="00C307FB" w:rsidRPr="00C307FB">
        <w:rPr>
          <w:sz w:val="24"/>
        </w:rPr>
        <w:t xml:space="preserve">he types of gambling </w:t>
      </w:r>
      <w:r w:rsidR="005436D4">
        <w:rPr>
          <w:sz w:val="24"/>
        </w:rPr>
        <w:t xml:space="preserve">and the circumstances where </w:t>
      </w:r>
      <w:r>
        <w:rPr>
          <w:sz w:val="24"/>
        </w:rPr>
        <w:t>the Commission</w:t>
      </w:r>
      <w:r w:rsidR="00C307FB" w:rsidRPr="00C307FB">
        <w:rPr>
          <w:sz w:val="24"/>
        </w:rPr>
        <w:t xml:space="preserve"> will generally grant or refuse an application</w:t>
      </w:r>
      <w:r>
        <w:rPr>
          <w:sz w:val="24"/>
        </w:rPr>
        <w:t xml:space="preserve"> are set out in the Code of Practice for Social and Charitable Gambling. </w:t>
      </w:r>
      <w:r w:rsidR="005739F4">
        <w:rPr>
          <w:sz w:val="24"/>
        </w:rPr>
        <w:t>The Commission has a duty to promote good practice</w:t>
      </w:r>
      <w:r w:rsidR="007D41E5">
        <w:rPr>
          <w:sz w:val="24"/>
        </w:rPr>
        <w:t xml:space="preserve"> pursuant to Article 6 of the Gambli</w:t>
      </w:r>
      <w:r w:rsidR="00F828C0">
        <w:rPr>
          <w:sz w:val="24"/>
        </w:rPr>
        <w:t>ng Commission (Jersey) Law 2010</w:t>
      </w:r>
      <w:r>
        <w:rPr>
          <w:sz w:val="24"/>
        </w:rPr>
        <w:t>.</w:t>
      </w:r>
      <w:r w:rsidR="007D41E5">
        <w:rPr>
          <w:sz w:val="24"/>
        </w:rPr>
        <w:t xml:space="preserve"> </w:t>
      </w:r>
    </w:p>
    <w:p w14:paraId="5F87605D" w14:textId="3013193C" w:rsidR="007D41E5" w:rsidRDefault="007D41E5" w:rsidP="007D41E5">
      <w:pPr>
        <w:rPr>
          <w:sz w:val="24"/>
        </w:rPr>
      </w:pPr>
      <w:r>
        <w:rPr>
          <w:sz w:val="24"/>
        </w:rPr>
        <w:t>For applicants, the Code provide</w:t>
      </w:r>
      <w:r w:rsidR="000F6D73">
        <w:rPr>
          <w:sz w:val="24"/>
        </w:rPr>
        <w:t>s</w:t>
      </w:r>
      <w:r>
        <w:rPr>
          <w:sz w:val="24"/>
        </w:rPr>
        <w:t xml:space="preserve"> information on the conditions, </w:t>
      </w:r>
      <w:r w:rsidR="0000348D">
        <w:rPr>
          <w:sz w:val="24"/>
        </w:rPr>
        <w:t>standards</w:t>
      </w:r>
      <w:r w:rsidR="00C307FB">
        <w:rPr>
          <w:sz w:val="24"/>
        </w:rPr>
        <w:t xml:space="preserve"> and circumstances</w:t>
      </w:r>
      <w:r w:rsidR="009A6C44" w:rsidRPr="0031707C">
        <w:rPr>
          <w:sz w:val="24"/>
        </w:rPr>
        <w:t xml:space="preserve"> </w:t>
      </w:r>
      <w:r>
        <w:rPr>
          <w:sz w:val="24"/>
        </w:rPr>
        <w:t xml:space="preserve">they must apply to </w:t>
      </w:r>
      <w:r w:rsidR="0000348D">
        <w:rPr>
          <w:sz w:val="24"/>
        </w:rPr>
        <w:t>charitable gambling</w:t>
      </w:r>
      <w:r>
        <w:rPr>
          <w:sz w:val="24"/>
        </w:rPr>
        <w:t>.</w:t>
      </w:r>
      <w:r w:rsidRPr="007D41E5">
        <w:rPr>
          <w:sz w:val="24"/>
        </w:rPr>
        <w:t xml:space="preserve"> </w:t>
      </w:r>
      <w:r>
        <w:rPr>
          <w:sz w:val="24"/>
        </w:rPr>
        <w:t xml:space="preserve">It </w:t>
      </w:r>
      <w:r w:rsidR="00EC7D34">
        <w:rPr>
          <w:sz w:val="24"/>
        </w:rPr>
        <w:t xml:space="preserve">explains the process of Registration and </w:t>
      </w:r>
      <w:r>
        <w:rPr>
          <w:sz w:val="24"/>
        </w:rPr>
        <w:t>details the conditions placed on P</w:t>
      </w:r>
      <w:r w:rsidRPr="00C307FB">
        <w:rPr>
          <w:sz w:val="24"/>
        </w:rPr>
        <w:t>ermit</w:t>
      </w:r>
      <w:r>
        <w:rPr>
          <w:sz w:val="24"/>
        </w:rPr>
        <w:t>s</w:t>
      </w:r>
      <w:r w:rsidRPr="00C307FB">
        <w:rPr>
          <w:sz w:val="24"/>
        </w:rPr>
        <w:t>.</w:t>
      </w:r>
      <w:r w:rsidR="009A6C44" w:rsidRPr="0031707C">
        <w:rPr>
          <w:sz w:val="24"/>
        </w:rPr>
        <w:t xml:space="preserve"> </w:t>
      </w:r>
      <w:r w:rsidR="0000348D">
        <w:rPr>
          <w:sz w:val="24"/>
        </w:rPr>
        <w:t xml:space="preserve"> </w:t>
      </w:r>
    </w:p>
    <w:p w14:paraId="50DECF9D" w14:textId="2F2A1E1F" w:rsidR="007D41E5" w:rsidRDefault="009A6C44" w:rsidP="007D41E5">
      <w:pPr>
        <w:rPr>
          <w:sz w:val="24"/>
        </w:rPr>
      </w:pPr>
      <w:r w:rsidRPr="0031707C">
        <w:rPr>
          <w:sz w:val="24"/>
        </w:rPr>
        <w:t>The Commission use</w:t>
      </w:r>
      <w:r w:rsidR="000F6D73">
        <w:rPr>
          <w:sz w:val="24"/>
        </w:rPr>
        <w:t>s</w:t>
      </w:r>
      <w:r w:rsidRPr="0031707C">
        <w:rPr>
          <w:sz w:val="24"/>
        </w:rPr>
        <w:t xml:space="preserve"> these</w:t>
      </w:r>
      <w:r w:rsidR="0000348D">
        <w:rPr>
          <w:sz w:val="24"/>
        </w:rPr>
        <w:t xml:space="preserve"> conditions and</w:t>
      </w:r>
      <w:r w:rsidRPr="0031707C">
        <w:rPr>
          <w:sz w:val="24"/>
        </w:rPr>
        <w:t xml:space="preserve"> standards </w:t>
      </w:r>
      <w:r w:rsidR="007D41E5">
        <w:rPr>
          <w:sz w:val="24"/>
        </w:rPr>
        <w:t xml:space="preserve">in the following ways: </w:t>
      </w:r>
    </w:p>
    <w:p w14:paraId="303A993B" w14:textId="77777777" w:rsidR="007D41E5" w:rsidRPr="007D41E5" w:rsidRDefault="00200FAA" w:rsidP="007D41E5">
      <w:pPr>
        <w:pStyle w:val="ListParagraph"/>
        <w:numPr>
          <w:ilvl w:val="0"/>
          <w:numId w:val="34"/>
        </w:numPr>
        <w:rPr>
          <w:sz w:val="24"/>
        </w:rPr>
      </w:pPr>
      <w:r w:rsidRPr="007D41E5">
        <w:rPr>
          <w:sz w:val="24"/>
        </w:rPr>
        <w:t xml:space="preserve">as a template for regulation, </w:t>
      </w:r>
    </w:p>
    <w:p w14:paraId="346EEA34" w14:textId="77777777" w:rsidR="007D41E5" w:rsidRPr="007D41E5" w:rsidRDefault="007D41E5" w:rsidP="007D41E5">
      <w:pPr>
        <w:pStyle w:val="ListParagraph"/>
        <w:numPr>
          <w:ilvl w:val="0"/>
          <w:numId w:val="34"/>
        </w:numPr>
        <w:rPr>
          <w:sz w:val="24"/>
        </w:rPr>
      </w:pPr>
      <w:r w:rsidRPr="007D41E5">
        <w:rPr>
          <w:sz w:val="24"/>
        </w:rPr>
        <w:t xml:space="preserve">for </w:t>
      </w:r>
      <w:r w:rsidR="00200FAA" w:rsidRPr="007D41E5">
        <w:rPr>
          <w:sz w:val="24"/>
        </w:rPr>
        <w:t xml:space="preserve">the evaluation of applicants, </w:t>
      </w:r>
    </w:p>
    <w:p w14:paraId="3BACFA19" w14:textId="557C7B51" w:rsidR="009A6C44" w:rsidRPr="007D41E5" w:rsidRDefault="00200FAA" w:rsidP="007D41E5">
      <w:pPr>
        <w:pStyle w:val="ListParagraph"/>
        <w:numPr>
          <w:ilvl w:val="0"/>
          <w:numId w:val="34"/>
        </w:numPr>
        <w:rPr>
          <w:sz w:val="24"/>
        </w:rPr>
      </w:pPr>
      <w:r w:rsidRPr="007D41E5">
        <w:rPr>
          <w:sz w:val="24"/>
        </w:rPr>
        <w:t xml:space="preserve">as an </w:t>
      </w:r>
      <w:r w:rsidR="0000348D" w:rsidRPr="007D41E5">
        <w:rPr>
          <w:sz w:val="24"/>
        </w:rPr>
        <w:t xml:space="preserve">audit </w:t>
      </w:r>
      <w:r w:rsidR="007D41E5" w:rsidRPr="007D41E5">
        <w:rPr>
          <w:sz w:val="24"/>
        </w:rPr>
        <w:t>for</w:t>
      </w:r>
      <w:r w:rsidR="0000348D" w:rsidRPr="007D41E5">
        <w:rPr>
          <w:sz w:val="24"/>
        </w:rPr>
        <w:t xml:space="preserve"> charitable gambling</w:t>
      </w:r>
      <w:r w:rsidR="007D41E5" w:rsidRPr="007D41E5">
        <w:rPr>
          <w:sz w:val="24"/>
        </w:rPr>
        <w:t xml:space="preserve"> undertaken</w:t>
      </w:r>
      <w:r w:rsidR="0000348D" w:rsidRPr="007D41E5">
        <w:rPr>
          <w:sz w:val="24"/>
        </w:rPr>
        <w:t>.</w:t>
      </w:r>
    </w:p>
    <w:p w14:paraId="47F4C1CD" w14:textId="4E9C277E" w:rsidR="00D3751C" w:rsidRPr="0053417C" w:rsidRDefault="00D3751C" w:rsidP="00D3751C">
      <w:pPr>
        <w:rPr>
          <w:sz w:val="24"/>
        </w:rPr>
      </w:pPr>
      <w:r w:rsidRPr="0053417C">
        <w:rPr>
          <w:sz w:val="24"/>
        </w:rPr>
        <w:t xml:space="preserve">This statement will be reviewed from time to time and revised </w:t>
      </w:r>
      <w:r w:rsidR="000F6D73">
        <w:rPr>
          <w:sz w:val="24"/>
        </w:rPr>
        <w:t>when necessary</w:t>
      </w:r>
      <w:r w:rsidRPr="0053417C">
        <w:rPr>
          <w:sz w:val="24"/>
        </w:rPr>
        <w:t xml:space="preserve">. </w:t>
      </w:r>
    </w:p>
    <w:p w14:paraId="02606AFB" w14:textId="77777777" w:rsidR="00D3751C" w:rsidRPr="00B13C2A" w:rsidRDefault="00D3751C" w:rsidP="00203E3E">
      <w:pPr>
        <w:ind w:left="11"/>
        <w:rPr>
          <w:sz w:val="24"/>
        </w:rPr>
      </w:pPr>
    </w:p>
    <w:p w14:paraId="760353FD" w14:textId="77777777" w:rsidR="0000348D" w:rsidRDefault="0000348D" w:rsidP="00382ADC">
      <w:pPr>
        <w:pStyle w:val="Heading1"/>
        <w:jc w:val="center"/>
        <w:rPr>
          <w:sz w:val="40"/>
          <w:szCs w:val="40"/>
        </w:rPr>
      </w:pPr>
    </w:p>
    <w:p w14:paraId="78BA18FA" w14:textId="77777777" w:rsidR="0000348D" w:rsidRDefault="0000348D" w:rsidP="00382ADC">
      <w:pPr>
        <w:pStyle w:val="Heading1"/>
        <w:jc w:val="center"/>
        <w:rPr>
          <w:sz w:val="40"/>
          <w:szCs w:val="40"/>
        </w:rPr>
      </w:pPr>
    </w:p>
    <w:p w14:paraId="165D29A1" w14:textId="77777777" w:rsidR="0000348D" w:rsidRDefault="0000348D" w:rsidP="00382ADC">
      <w:pPr>
        <w:pStyle w:val="Heading1"/>
        <w:jc w:val="center"/>
        <w:rPr>
          <w:sz w:val="40"/>
          <w:szCs w:val="40"/>
        </w:rPr>
      </w:pPr>
    </w:p>
    <w:p w14:paraId="4ABAB779" w14:textId="77777777" w:rsidR="00F828C0" w:rsidRDefault="00F828C0" w:rsidP="00CB066D">
      <w:pPr>
        <w:pStyle w:val="Heading1"/>
        <w:rPr>
          <w:sz w:val="40"/>
          <w:szCs w:val="40"/>
        </w:rPr>
      </w:pPr>
    </w:p>
    <w:p w14:paraId="00F98A1F" w14:textId="77777777" w:rsidR="00611FAC" w:rsidRDefault="00611FAC" w:rsidP="000125C9">
      <w:pPr>
        <w:spacing w:after="0"/>
        <w:rPr>
          <w:sz w:val="24"/>
        </w:rPr>
      </w:pPr>
    </w:p>
    <w:p w14:paraId="5BEE8B05" w14:textId="3F352A84" w:rsidR="006A242A" w:rsidRPr="008D4F52" w:rsidRDefault="004B0498" w:rsidP="008D4F52">
      <w:pPr>
        <w:spacing w:after="0"/>
        <w:jc w:val="left"/>
        <w:rPr>
          <w:rFonts w:eastAsia="MS Mincho" w:cs="Arial"/>
          <w:sz w:val="24"/>
          <w:lang w:val="en-US" w:eastAsia="en-US"/>
        </w:rPr>
      </w:pPr>
      <w:r>
        <w:rPr>
          <w:b/>
          <w:sz w:val="24"/>
        </w:rPr>
        <w:br w:type="page"/>
      </w:r>
    </w:p>
    <w:p w14:paraId="79E5D742" w14:textId="77777777" w:rsidR="00602BB6" w:rsidRPr="00602BB6" w:rsidRDefault="00602BB6" w:rsidP="00CE0D31">
      <w:pPr>
        <w:rPr>
          <w:b/>
          <w:sz w:val="24"/>
        </w:rPr>
      </w:pPr>
      <w:r>
        <w:rPr>
          <w:b/>
          <w:sz w:val="24"/>
        </w:rPr>
        <w:lastRenderedPageBreak/>
        <w:t>TABLE REFERENCE OF CHARITABLE GAMBLING BY TYPE AND CATEGORY</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10"/>
      </w:tblGrid>
      <w:tr w:rsidR="00ED1E08" w14:paraId="495B0215" w14:textId="77777777" w:rsidTr="000741C8">
        <w:trPr>
          <w:trHeight w:val="1070"/>
        </w:trPr>
        <w:tc>
          <w:tcPr>
            <w:tcW w:w="3005" w:type="dxa"/>
          </w:tcPr>
          <w:p w14:paraId="394B2C3C" w14:textId="77777777" w:rsidR="00ED1E08" w:rsidRDefault="00ED1E08" w:rsidP="000741C8">
            <w:pPr>
              <w:pStyle w:val="TableParagraph"/>
              <w:spacing w:before="7" w:line="237" w:lineRule="auto"/>
              <w:ind w:left="851" w:right="164" w:hanging="654"/>
              <w:jc w:val="left"/>
              <w:rPr>
                <w:b/>
                <w:sz w:val="24"/>
              </w:rPr>
            </w:pPr>
            <w:r>
              <w:rPr>
                <w:b/>
                <w:sz w:val="24"/>
              </w:rPr>
              <w:t>EXEMPT CHARITABLE GAMBLING</w:t>
            </w:r>
          </w:p>
        </w:tc>
        <w:tc>
          <w:tcPr>
            <w:tcW w:w="3005" w:type="dxa"/>
          </w:tcPr>
          <w:p w14:paraId="13ECCA93" w14:textId="77777777" w:rsidR="00ED1E08" w:rsidRDefault="00ED1E08" w:rsidP="000741C8">
            <w:pPr>
              <w:pStyle w:val="TableParagraph"/>
              <w:spacing w:before="5"/>
              <w:ind w:left="725" w:right="707" w:hanging="1"/>
              <w:rPr>
                <w:b/>
                <w:sz w:val="24"/>
              </w:rPr>
            </w:pPr>
            <w:r>
              <w:rPr>
                <w:b/>
                <w:sz w:val="24"/>
              </w:rPr>
              <w:t>REGISTERED CHARITABLE GAMBLING</w:t>
            </w:r>
          </w:p>
        </w:tc>
        <w:tc>
          <w:tcPr>
            <w:tcW w:w="3010" w:type="dxa"/>
          </w:tcPr>
          <w:p w14:paraId="7E241588" w14:textId="77777777" w:rsidR="00ED1E08" w:rsidRDefault="00ED1E08" w:rsidP="000741C8">
            <w:pPr>
              <w:pStyle w:val="TableParagraph"/>
              <w:spacing w:before="7" w:line="237" w:lineRule="auto"/>
              <w:ind w:left="164" w:right="136" w:firstLine="560"/>
              <w:jc w:val="left"/>
              <w:rPr>
                <w:b/>
                <w:sz w:val="24"/>
              </w:rPr>
            </w:pPr>
            <w:r>
              <w:rPr>
                <w:b/>
                <w:sz w:val="24"/>
              </w:rPr>
              <w:t>CHARITABLE GAMBLING BY PERMIT</w:t>
            </w:r>
          </w:p>
        </w:tc>
      </w:tr>
      <w:tr w:rsidR="00ED1E08" w14:paraId="34C8507A" w14:textId="77777777" w:rsidTr="000741C8">
        <w:trPr>
          <w:trHeight w:val="1852"/>
        </w:trPr>
        <w:tc>
          <w:tcPr>
            <w:tcW w:w="3005" w:type="dxa"/>
          </w:tcPr>
          <w:p w14:paraId="436BCD40" w14:textId="77777777" w:rsidR="00ED1E08" w:rsidRDefault="00ED1E08" w:rsidP="000741C8">
            <w:pPr>
              <w:pStyle w:val="TableParagraph"/>
              <w:rPr>
                <w:sz w:val="20"/>
              </w:rPr>
            </w:pPr>
            <w:r>
              <w:rPr>
                <w:sz w:val="20"/>
              </w:rPr>
              <w:t>A charity may hold gambling on a maximum of three days per year no matter what combination of gambling takes place. This means only 3 days in total NOT 3 days per type of gambling.</w:t>
            </w:r>
          </w:p>
        </w:tc>
        <w:tc>
          <w:tcPr>
            <w:tcW w:w="3005" w:type="dxa"/>
          </w:tcPr>
          <w:p w14:paraId="19ADE020" w14:textId="77777777" w:rsidR="00ED1E08" w:rsidRDefault="00ED1E08" w:rsidP="000741C8">
            <w:pPr>
              <w:pStyle w:val="TableParagraph"/>
              <w:rPr>
                <w:sz w:val="20"/>
              </w:rPr>
            </w:pPr>
            <w:r>
              <w:rPr>
                <w:sz w:val="20"/>
              </w:rPr>
              <w:t>Where charitable gambling is in excess of the ‘exempt’ category, it must be registered with the Commission.</w:t>
            </w:r>
          </w:p>
        </w:tc>
        <w:tc>
          <w:tcPr>
            <w:tcW w:w="3010" w:type="dxa"/>
          </w:tcPr>
          <w:p w14:paraId="3E7BF73A" w14:textId="77777777" w:rsidR="00ED1E08" w:rsidRDefault="00ED1E08" w:rsidP="000741C8">
            <w:pPr>
              <w:pStyle w:val="TableParagraph"/>
              <w:ind w:left="109" w:right="96"/>
              <w:rPr>
                <w:sz w:val="20"/>
              </w:rPr>
            </w:pPr>
            <w:r>
              <w:rPr>
                <w:sz w:val="20"/>
              </w:rPr>
              <w:t xml:space="preserve">A charity must apply for and comply with the conditions of a permit when the prize fund limits exceed those allowed under a registration </w:t>
            </w:r>
            <w:proofErr w:type="gramStart"/>
            <w:r>
              <w:rPr>
                <w:sz w:val="20"/>
              </w:rPr>
              <w:t>i.e. :</w:t>
            </w:r>
            <w:proofErr w:type="gramEnd"/>
            <w:r>
              <w:rPr>
                <w:sz w:val="20"/>
              </w:rPr>
              <w:t>-</w:t>
            </w:r>
          </w:p>
        </w:tc>
      </w:tr>
      <w:tr w:rsidR="00ED1E08" w14:paraId="54AA01DA" w14:textId="77777777" w:rsidTr="000741C8">
        <w:trPr>
          <w:trHeight w:val="1626"/>
        </w:trPr>
        <w:tc>
          <w:tcPr>
            <w:tcW w:w="3005" w:type="dxa"/>
          </w:tcPr>
          <w:p w14:paraId="03C41B16" w14:textId="77777777" w:rsidR="00ED1E08" w:rsidRDefault="00ED1E08" w:rsidP="000741C8">
            <w:pPr>
              <w:pStyle w:val="TableParagraph"/>
              <w:spacing w:before="1" w:line="237" w:lineRule="auto"/>
              <w:rPr>
                <w:sz w:val="20"/>
              </w:rPr>
            </w:pPr>
            <w:r>
              <w:rPr>
                <w:sz w:val="20"/>
              </w:rPr>
              <w:t>A charity may hold 3 lotteries/raffles draws per year where the total prize fund is</w:t>
            </w:r>
          </w:p>
          <w:p w14:paraId="154FC867" w14:textId="77777777" w:rsidR="00ED1E08" w:rsidRDefault="00ED1E08" w:rsidP="000741C8">
            <w:pPr>
              <w:pStyle w:val="TableParagraph"/>
              <w:spacing w:before="1"/>
              <w:ind w:right="0"/>
              <w:rPr>
                <w:sz w:val="20"/>
              </w:rPr>
            </w:pPr>
            <w:r>
              <w:rPr>
                <w:sz w:val="20"/>
              </w:rPr>
              <w:t>£1500 (or less) per lottery.</w:t>
            </w:r>
          </w:p>
        </w:tc>
        <w:tc>
          <w:tcPr>
            <w:tcW w:w="3005" w:type="dxa"/>
          </w:tcPr>
          <w:p w14:paraId="30C7CDBE" w14:textId="77777777" w:rsidR="00ED1E08" w:rsidRDefault="00ED1E08" w:rsidP="000741C8">
            <w:pPr>
              <w:pStyle w:val="TableParagraph"/>
              <w:rPr>
                <w:sz w:val="20"/>
              </w:rPr>
            </w:pPr>
            <w:r>
              <w:rPr>
                <w:sz w:val="20"/>
              </w:rPr>
              <w:t>More</w:t>
            </w:r>
            <w:r>
              <w:rPr>
                <w:spacing w:val="-12"/>
                <w:sz w:val="20"/>
              </w:rPr>
              <w:t xml:space="preserve"> </w:t>
            </w:r>
            <w:r>
              <w:rPr>
                <w:sz w:val="20"/>
              </w:rPr>
              <w:t>than</w:t>
            </w:r>
            <w:r>
              <w:rPr>
                <w:spacing w:val="-12"/>
                <w:sz w:val="20"/>
              </w:rPr>
              <w:t xml:space="preserve"> </w:t>
            </w:r>
            <w:r>
              <w:rPr>
                <w:sz w:val="20"/>
              </w:rPr>
              <w:t>3</w:t>
            </w:r>
            <w:r>
              <w:rPr>
                <w:spacing w:val="-11"/>
                <w:sz w:val="20"/>
              </w:rPr>
              <w:t xml:space="preserve"> </w:t>
            </w:r>
            <w:r>
              <w:rPr>
                <w:sz w:val="20"/>
              </w:rPr>
              <w:t>lotteries</w:t>
            </w:r>
            <w:r>
              <w:rPr>
                <w:spacing w:val="-12"/>
                <w:sz w:val="20"/>
              </w:rPr>
              <w:t xml:space="preserve"> </w:t>
            </w:r>
            <w:r>
              <w:rPr>
                <w:sz w:val="20"/>
              </w:rPr>
              <w:t>per</w:t>
            </w:r>
            <w:r>
              <w:rPr>
                <w:spacing w:val="-11"/>
                <w:sz w:val="20"/>
              </w:rPr>
              <w:t xml:space="preserve"> </w:t>
            </w:r>
            <w:r>
              <w:rPr>
                <w:sz w:val="20"/>
              </w:rPr>
              <w:t>year</w:t>
            </w:r>
            <w:r>
              <w:rPr>
                <w:spacing w:val="-11"/>
                <w:sz w:val="20"/>
              </w:rPr>
              <w:t xml:space="preserve"> </w:t>
            </w:r>
            <w:r>
              <w:rPr>
                <w:sz w:val="20"/>
              </w:rPr>
              <w:t>or any lottery where total prizes are between £1500 and £12,000. TOTAL prizes for the year may not exceed</w:t>
            </w:r>
            <w:r>
              <w:rPr>
                <w:spacing w:val="-5"/>
                <w:sz w:val="20"/>
              </w:rPr>
              <w:t xml:space="preserve"> </w:t>
            </w:r>
            <w:r>
              <w:rPr>
                <w:sz w:val="20"/>
              </w:rPr>
              <w:t>£30,000.</w:t>
            </w:r>
          </w:p>
        </w:tc>
        <w:tc>
          <w:tcPr>
            <w:tcW w:w="3010" w:type="dxa"/>
          </w:tcPr>
          <w:p w14:paraId="7C2CBFF2" w14:textId="77777777" w:rsidR="00ED1E08" w:rsidRDefault="00ED1E08" w:rsidP="000741C8">
            <w:pPr>
              <w:pStyle w:val="TableParagraph"/>
              <w:tabs>
                <w:tab w:val="left" w:pos="1860"/>
                <w:tab w:val="left" w:pos="2521"/>
              </w:tabs>
              <w:spacing w:before="3" w:line="235" w:lineRule="auto"/>
              <w:ind w:left="109" w:right="98"/>
              <w:jc w:val="left"/>
              <w:rPr>
                <w:sz w:val="20"/>
              </w:rPr>
            </w:pPr>
            <w:r>
              <w:rPr>
                <w:sz w:val="20"/>
              </w:rPr>
              <w:t>Lotteries/Raffles</w:t>
            </w:r>
            <w:r>
              <w:rPr>
                <w:sz w:val="20"/>
              </w:rPr>
              <w:tab/>
              <w:t>with</w:t>
            </w:r>
            <w:r>
              <w:rPr>
                <w:sz w:val="20"/>
              </w:rPr>
              <w:tab/>
            </w:r>
            <w:r>
              <w:rPr>
                <w:spacing w:val="-1"/>
                <w:sz w:val="20"/>
              </w:rPr>
              <w:t xml:space="preserve">total </w:t>
            </w:r>
            <w:r>
              <w:rPr>
                <w:sz w:val="20"/>
              </w:rPr>
              <w:t>prizes over £12,000 per event, or</w:t>
            </w:r>
            <w:r>
              <w:rPr>
                <w:spacing w:val="13"/>
                <w:sz w:val="20"/>
              </w:rPr>
              <w:t xml:space="preserve"> </w:t>
            </w:r>
            <w:r>
              <w:rPr>
                <w:sz w:val="20"/>
              </w:rPr>
              <w:t>over</w:t>
            </w:r>
          </w:p>
          <w:p w14:paraId="5BCCA385" w14:textId="77777777" w:rsidR="00ED1E08" w:rsidRDefault="00ED1E08" w:rsidP="000741C8">
            <w:pPr>
              <w:pStyle w:val="TableParagraph"/>
              <w:spacing w:before="1"/>
              <w:ind w:left="109" w:right="0"/>
              <w:jc w:val="left"/>
              <w:rPr>
                <w:sz w:val="20"/>
              </w:rPr>
            </w:pPr>
            <w:r>
              <w:rPr>
                <w:sz w:val="20"/>
              </w:rPr>
              <w:t>£30,000 for the year.</w:t>
            </w:r>
          </w:p>
        </w:tc>
      </w:tr>
      <w:tr w:rsidR="00ED1E08" w14:paraId="42E143B1" w14:textId="77777777" w:rsidTr="000741C8">
        <w:trPr>
          <w:trHeight w:val="2562"/>
        </w:trPr>
        <w:tc>
          <w:tcPr>
            <w:tcW w:w="3005" w:type="dxa"/>
          </w:tcPr>
          <w:p w14:paraId="1915EE8D" w14:textId="77777777" w:rsidR="00ED1E08" w:rsidRDefault="00ED1E08" w:rsidP="000741C8">
            <w:pPr>
              <w:pStyle w:val="TableParagraph"/>
              <w:rPr>
                <w:b/>
                <w:sz w:val="20"/>
              </w:rPr>
            </w:pPr>
            <w:r w:rsidRPr="00C23CBA">
              <w:rPr>
                <w:sz w:val="20"/>
              </w:rPr>
              <w:t xml:space="preserve">Bingo played 3 times per </w:t>
            </w:r>
            <w:proofErr w:type="gramStart"/>
            <w:r w:rsidRPr="00C23CBA">
              <w:rPr>
                <w:sz w:val="20"/>
              </w:rPr>
              <w:t xml:space="preserve">year, </w:t>
            </w:r>
            <w:r>
              <w:rPr>
                <w:sz w:val="20"/>
              </w:rPr>
              <w:t xml:space="preserve">  </w:t>
            </w:r>
            <w:proofErr w:type="gramEnd"/>
            <w:r>
              <w:rPr>
                <w:sz w:val="20"/>
              </w:rPr>
              <w:t xml:space="preserve">  </w:t>
            </w:r>
            <w:r w:rsidRPr="00C23CBA">
              <w:rPr>
                <w:sz w:val="20"/>
              </w:rPr>
              <w:t>where the total prizes</w:t>
            </w:r>
            <w:r>
              <w:rPr>
                <w:sz w:val="20"/>
              </w:rPr>
              <w:t xml:space="preserve"> are</w:t>
            </w:r>
            <w:r w:rsidRPr="00C23CBA">
              <w:rPr>
                <w:sz w:val="20"/>
              </w:rPr>
              <w:t xml:space="preserve"> less than </w:t>
            </w:r>
            <w:r>
              <w:rPr>
                <w:sz w:val="20"/>
              </w:rPr>
              <w:t xml:space="preserve">  </w:t>
            </w:r>
            <w:r w:rsidRPr="00C23CBA">
              <w:rPr>
                <w:sz w:val="20"/>
              </w:rPr>
              <w:t xml:space="preserve">£1500 per session (24 </w:t>
            </w:r>
            <w:proofErr w:type="spellStart"/>
            <w:r w:rsidRPr="00C23CBA">
              <w:rPr>
                <w:sz w:val="20"/>
              </w:rPr>
              <w:t>hrs</w:t>
            </w:r>
            <w:proofErr w:type="spellEnd"/>
            <w:r w:rsidRPr="00C23CBA">
              <w:rPr>
                <w:sz w:val="20"/>
              </w:rPr>
              <w:t>).</w:t>
            </w:r>
          </w:p>
          <w:p w14:paraId="796D4F57" w14:textId="77777777" w:rsidR="00ED1E08" w:rsidRDefault="00ED1E08" w:rsidP="000741C8">
            <w:pPr>
              <w:pStyle w:val="TableParagraph"/>
              <w:ind w:left="1393" w:right="0"/>
              <w:jc w:val="left"/>
              <w:rPr>
                <w:sz w:val="20"/>
              </w:rPr>
            </w:pPr>
            <w:r>
              <w:rPr>
                <w:sz w:val="20"/>
              </w:rPr>
              <w:t>Or</w:t>
            </w:r>
          </w:p>
          <w:p w14:paraId="7189BEAE" w14:textId="77777777" w:rsidR="00ED1E08" w:rsidRDefault="00ED1E08" w:rsidP="000741C8">
            <w:pPr>
              <w:pStyle w:val="TableParagraph"/>
              <w:spacing w:before="11"/>
              <w:ind w:left="0" w:right="0"/>
              <w:jc w:val="left"/>
              <w:rPr>
                <w:b/>
                <w:sz w:val="20"/>
              </w:rPr>
            </w:pPr>
          </w:p>
          <w:p w14:paraId="4C64FFA3" w14:textId="77777777" w:rsidR="00ED1E08" w:rsidRDefault="00ED1E08" w:rsidP="000741C8">
            <w:pPr>
              <w:pStyle w:val="TableParagraph"/>
              <w:rPr>
                <w:sz w:val="20"/>
              </w:rPr>
            </w:pPr>
            <w:r>
              <w:rPr>
                <w:sz w:val="20"/>
              </w:rPr>
              <w:t>A combination of lottery and bingo events (no more than 3</w:t>
            </w:r>
            <w:r>
              <w:rPr>
                <w:spacing w:val="-30"/>
                <w:sz w:val="20"/>
              </w:rPr>
              <w:t xml:space="preserve"> </w:t>
            </w:r>
            <w:r>
              <w:rPr>
                <w:sz w:val="20"/>
              </w:rPr>
              <w:t>in total) where the prize fund</w:t>
            </w:r>
            <w:r>
              <w:rPr>
                <w:spacing w:val="-22"/>
                <w:sz w:val="20"/>
              </w:rPr>
              <w:t xml:space="preserve"> </w:t>
            </w:r>
            <w:r>
              <w:rPr>
                <w:sz w:val="20"/>
              </w:rPr>
              <w:t>does not exceed £1500, per</w:t>
            </w:r>
            <w:r>
              <w:rPr>
                <w:spacing w:val="-5"/>
                <w:sz w:val="20"/>
              </w:rPr>
              <w:t xml:space="preserve"> </w:t>
            </w:r>
            <w:r>
              <w:rPr>
                <w:sz w:val="20"/>
              </w:rPr>
              <w:t>event</w:t>
            </w:r>
          </w:p>
        </w:tc>
        <w:tc>
          <w:tcPr>
            <w:tcW w:w="3005" w:type="dxa"/>
          </w:tcPr>
          <w:p w14:paraId="59AFF5BE" w14:textId="77777777" w:rsidR="00ED1E08" w:rsidRDefault="00ED1E08" w:rsidP="000741C8">
            <w:pPr>
              <w:pStyle w:val="TableParagraph"/>
              <w:rPr>
                <w:sz w:val="20"/>
              </w:rPr>
            </w:pPr>
            <w:r>
              <w:rPr>
                <w:sz w:val="20"/>
              </w:rPr>
              <w:t xml:space="preserve">Bingo </w:t>
            </w:r>
            <w:proofErr w:type="spellStart"/>
            <w:r>
              <w:rPr>
                <w:sz w:val="20"/>
              </w:rPr>
              <w:t>organised</w:t>
            </w:r>
            <w:proofErr w:type="spellEnd"/>
            <w:r>
              <w:rPr>
                <w:sz w:val="20"/>
              </w:rPr>
              <w:t xml:space="preserve"> &amp; played regularly</w:t>
            </w:r>
            <w:r>
              <w:rPr>
                <w:spacing w:val="-11"/>
                <w:sz w:val="20"/>
              </w:rPr>
              <w:t xml:space="preserve"> </w:t>
            </w:r>
            <w:r>
              <w:rPr>
                <w:sz w:val="20"/>
              </w:rPr>
              <w:t>(more</w:t>
            </w:r>
            <w:r>
              <w:rPr>
                <w:spacing w:val="-11"/>
                <w:sz w:val="20"/>
              </w:rPr>
              <w:t xml:space="preserve"> </w:t>
            </w:r>
            <w:r>
              <w:rPr>
                <w:sz w:val="20"/>
              </w:rPr>
              <w:t>than</w:t>
            </w:r>
            <w:r>
              <w:rPr>
                <w:spacing w:val="-11"/>
                <w:sz w:val="20"/>
              </w:rPr>
              <w:t xml:space="preserve"> </w:t>
            </w:r>
            <w:r>
              <w:rPr>
                <w:sz w:val="20"/>
              </w:rPr>
              <w:t>3</w:t>
            </w:r>
            <w:r>
              <w:rPr>
                <w:spacing w:val="-11"/>
                <w:sz w:val="20"/>
              </w:rPr>
              <w:t xml:space="preserve"> </w:t>
            </w:r>
            <w:r>
              <w:rPr>
                <w:sz w:val="20"/>
              </w:rPr>
              <w:t>times</w:t>
            </w:r>
            <w:r>
              <w:rPr>
                <w:spacing w:val="-11"/>
                <w:sz w:val="20"/>
              </w:rPr>
              <w:t xml:space="preserve"> </w:t>
            </w:r>
            <w:r>
              <w:rPr>
                <w:sz w:val="20"/>
              </w:rPr>
              <w:t xml:space="preserve">per year) or any bingo with prizes greater than £1500 per session (24 </w:t>
            </w:r>
            <w:proofErr w:type="spellStart"/>
            <w:r>
              <w:rPr>
                <w:sz w:val="20"/>
              </w:rPr>
              <w:t>hrs</w:t>
            </w:r>
            <w:proofErr w:type="spellEnd"/>
            <w:r>
              <w:rPr>
                <w:sz w:val="20"/>
              </w:rPr>
              <w:t>) and with a maximum</w:t>
            </w:r>
            <w:r>
              <w:rPr>
                <w:spacing w:val="-20"/>
                <w:sz w:val="20"/>
              </w:rPr>
              <w:t xml:space="preserve"> </w:t>
            </w:r>
            <w:r>
              <w:rPr>
                <w:sz w:val="20"/>
              </w:rPr>
              <w:t>of</w:t>
            </w:r>
          </w:p>
          <w:p w14:paraId="4E735895" w14:textId="77777777" w:rsidR="00ED1E08" w:rsidRDefault="00ED1E08" w:rsidP="000741C8">
            <w:pPr>
              <w:pStyle w:val="TableParagraph"/>
              <w:spacing w:before="1"/>
              <w:rPr>
                <w:sz w:val="20"/>
              </w:rPr>
            </w:pPr>
            <w:r>
              <w:rPr>
                <w:sz w:val="20"/>
              </w:rPr>
              <w:t>£30,000 in total prize money in any one calendar year.</w:t>
            </w:r>
          </w:p>
        </w:tc>
        <w:tc>
          <w:tcPr>
            <w:tcW w:w="3010" w:type="dxa"/>
          </w:tcPr>
          <w:p w14:paraId="3A1A2ECF" w14:textId="77777777" w:rsidR="00ED1E08" w:rsidRDefault="00ED1E08" w:rsidP="000741C8">
            <w:pPr>
              <w:pStyle w:val="TableParagraph"/>
              <w:ind w:left="109" w:right="97"/>
              <w:rPr>
                <w:sz w:val="20"/>
              </w:rPr>
            </w:pPr>
            <w:r>
              <w:rPr>
                <w:sz w:val="20"/>
              </w:rPr>
              <w:t xml:space="preserve">Any other gambling events (bingo </w:t>
            </w:r>
            <w:proofErr w:type="spellStart"/>
            <w:r>
              <w:rPr>
                <w:sz w:val="20"/>
              </w:rPr>
              <w:t>etc</w:t>
            </w:r>
            <w:proofErr w:type="spellEnd"/>
            <w:r>
              <w:rPr>
                <w:sz w:val="20"/>
              </w:rPr>
              <w:t>) where the prize</w:t>
            </w:r>
            <w:r>
              <w:rPr>
                <w:spacing w:val="-32"/>
                <w:sz w:val="20"/>
              </w:rPr>
              <w:t xml:space="preserve"> </w:t>
            </w:r>
            <w:r>
              <w:rPr>
                <w:sz w:val="20"/>
              </w:rPr>
              <w:t>fund exceeds £12,000 for any ONE event or the TOTAL prize fund for</w:t>
            </w:r>
            <w:r>
              <w:rPr>
                <w:spacing w:val="20"/>
                <w:sz w:val="20"/>
              </w:rPr>
              <w:t xml:space="preserve"> </w:t>
            </w:r>
            <w:r>
              <w:rPr>
                <w:sz w:val="20"/>
              </w:rPr>
              <w:t>the</w:t>
            </w:r>
            <w:r>
              <w:rPr>
                <w:spacing w:val="20"/>
                <w:sz w:val="20"/>
              </w:rPr>
              <w:t xml:space="preserve"> </w:t>
            </w:r>
            <w:r>
              <w:rPr>
                <w:sz w:val="20"/>
              </w:rPr>
              <w:t>year</w:t>
            </w:r>
            <w:r>
              <w:rPr>
                <w:spacing w:val="20"/>
                <w:sz w:val="20"/>
              </w:rPr>
              <w:t xml:space="preserve"> </w:t>
            </w:r>
            <w:r>
              <w:rPr>
                <w:sz w:val="20"/>
              </w:rPr>
              <w:t>is</w:t>
            </w:r>
            <w:r>
              <w:rPr>
                <w:spacing w:val="20"/>
                <w:sz w:val="20"/>
              </w:rPr>
              <w:t xml:space="preserve"> </w:t>
            </w:r>
            <w:r>
              <w:rPr>
                <w:sz w:val="20"/>
              </w:rPr>
              <w:t>in</w:t>
            </w:r>
            <w:r>
              <w:rPr>
                <w:spacing w:val="20"/>
                <w:sz w:val="20"/>
              </w:rPr>
              <w:t xml:space="preserve"> </w:t>
            </w:r>
            <w:r>
              <w:rPr>
                <w:sz w:val="20"/>
              </w:rPr>
              <w:t>excess</w:t>
            </w:r>
            <w:r>
              <w:rPr>
                <w:spacing w:val="20"/>
                <w:sz w:val="20"/>
              </w:rPr>
              <w:t xml:space="preserve"> </w:t>
            </w:r>
            <w:r>
              <w:rPr>
                <w:sz w:val="20"/>
              </w:rPr>
              <w:t>of</w:t>
            </w:r>
          </w:p>
          <w:p w14:paraId="19829D82" w14:textId="77777777" w:rsidR="00ED1E08" w:rsidRDefault="00ED1E08" w:rsidP="000741C8">
            <w:pPr>
              <w:pStyle w:val="TableParagraph"/>
              <w:spacing w:before="1"/>
              <w:ind w:left="109" w:right="0"/>
              <w:rPr>
                <w:sz w:val="20"/>
              </w:rPr>
            </w:pPr>
            <w:r>
              <w:rPr>
                <w:sz w:val="20"/>
              </w:rPr>
              <w:t>£30,000.</w:t>
            </w:r>
          </w:p>
        </w:tc>
      </w:tr>
      <w:tr w:rsidR="00ED1E08" w14:paraId="2CA2CFB1" w14:textId="77777777" w:rsidTr="000741C8">
        <w:trPr>
          <w:trHeight w:val="1617"/>
        </w:trPr>
        <w:tc>
          <w:tcPr>
            <w:tcW w:w="3005" w:type="dxa"/>
          </w:tcPr>
          <w:p w14:paraId="56EEB15F" w14:textId="77777777" w:rsidR="00ED1E08" w:rsidRDefault="00ED1E08" w:rsidP="000741C8">
            <w:pPr>
              <w:pStyle w:val="TableParagraph"/>
              <w:ind w:left="404" w:right="389"/>
              <w:jc w:val="center"/>
              <w:rPr>
                <w:b/>
                <w:sz w:val="20"/>
              </w:rPr>
            </w:pPr>
            <w:r>
              <w:rPr>
                <w:b/>
                <w:sz w:val="20"/>
              </w:rPr>
              <w:t>IF IN DOUBT, PLEASE CONTACT THE COMMISSION BEFORE PROCEEDING WITH ORGANISING ANY GAMBLING EVENT.</w:t>
            </w:r>
          </w:p>
        </w:tc>
        <w:tc>
          <w:tcPr>
            <w:tcW w:w="3005" w:type="dxa"/>
          </w:tcPr>
          <w:p w14:paraId="1E175BB6" w14:textId="77777777" w:rsidR="00ED1E08" w:rsidRDefault="00ED1E08" w:rsidP="000741C8">
            <w:pPr>
              <w:pStyle w:val="TableParagraph"/>
              <w:spacing w:before="1" w:line="237" w:lineRule="auto"/>
              <w:rPr>
                <w:sz w:val="20"/>
              </w:rPr>
            </w:pPr>
            <w:r>
              <w:rPr>
                <w:sz w:val="20"/>
              </w:rPr>
              <w:t xml:space="preserve">You </w:t>
            </w:r>
            <w:r>
              <w:rPr>
                <w:sz w:val="20"/>
                <w:u w:val="single"/>
              </w:rPr>
              <w:t>must</w:t>
            </w:r>
            <w:r>
              <w:rPr>
                <w:sz w:val="20"/>
              </w:rPr>
              <w:t xml:space="preserve"> submit a schedule of planned events prior to engaging in or promoting any registered charitable gambling.</w:t>
            </w:r>
          </w:p>
        </w:tc>
        <w:tc>
          <w:tcPr>
            <w:tcW w:w="3010" w:type="dxa"/>
          </w:tcPr>
          <w:p w14:paraId="01261290" w14:textId="77777777" w:rsidR="00ED1E08" w:rsidRDefault="00ED1E08" w:rsidP="000741C8">
            <w:pPr>
              <w:pStyle w:val="TableParagraph"/>
              <w:ind w:left="109" w:right="97"/>
              <w:rPr>
                <w:sz w:val="20"/>
              </w:rPr>
            </w:pPr>
            <w:r>
              <w:rPr>
                <w:sz w:val="20"/>
              </w:rPr>
              <w:t>Details of the draw mechanism, auditors and insurance, along with personal KYC are required to be submitted when applying for a permit.</w:t>
            </w:r>
          </w:p>
        </w:tc>
      </w:tr>
    </w:tbl>
    <w:p w14:paraId="1B70ABB6" w14:textId="77777777" w:rsidR="00B618FB" w:rsidRDefault="00B618FB" w:rsidP="00602BB6">
      <w:pPr>
        <w:spacing w:after="0"/>
        <w:rPr>
          <w:b/>
          <w:sz w:val="24"/>
        </w:rPr>
      </w:pPr>
    </w:p>
    <w:p w14:paraId="4C782B79" w14:textId="63B5DF30" w:rsidR="00B618FB" w:rsidRDefault="00B618FB" w:rsidP="00B618FB">
      <w:pPr>
        <w:spacing w:after="0"/>
        <w:rPr>
          <w:sz w:val="24"/>
        </w:rPr>
      </w:pPr>
      <w:r>
        <w:rPr>
          <w:sz w:val="24"/>
        </w:rPr>
        <w:t xml:space="preserve">In the event that a prize fund is generated in excess of the thresholds permitted the prizes may be distributed but the charity must submit a ‘unusual event’ declaration (downloadable from the </w:t>
      </w:r>
      <w:r w:rsidR="00466740">
        <w:rPr>
          <w:sz w:val="24"/>
        </w:rPr>
        <w:t>Commission’s</w:t>
      </w:r>
      <w:r>
        <w:rPr>
          <w:sz w:val="24"/>
        </w:rPr>
        <w:t xml:space="preserve"> website) to the Commission as soon as possible and no later than 3 working days after the event.  No further charitable gambling is permitted in such circumstances until authorised by the Commission.</w:t>
      </w:r>
    </w:p>
    <w:p w14:paraId="3928B04D" w14:textId="77777777" w:rsidR="00B618FB" w:rsidRDefault="00B618FB" w:rsidP="00B618FB">
      <w:pPr>
        <w:spacing w:after="0"/>
        <w:rPr>
          <w:sz w:val="24"/>
        </w:rPr>
      </w:pPr>
    </w:p>
    <w:p w14:paraId="690050AA" w14:textId="77777777" w:rsidR="00B618FB" w:rsidRDefault="00B618FB" w:rsidP="00B618FB">
      <w:pPr>
        <w:spacing w:after="0"/>
        <w:rPr>
          <w:sz w:val="24"/>
        </w:rPr>
      </w:pPr>
    </w:p>
    <w:p w14:paraId="4C2369AA" w14:textId="77777777" w:rsidR="00B618FB" w:rsidRDefault="00B618FB" w:rsidP="004651B6">
      <w:pPr>
        <w:spacing w:after="0"/>
        <w:jc w:val="center"/>
        <w:rPr>
          <w:b/>
          <w:sz w:val="24"/>
        </w:rPr>
      </w:pPr>
      <w:r w:rsidRPr="00527D20">
        <w:rPr>
          <w:b/>
          <w:sz w:val="24"/>
        </w:rPr>
        <w:t xml:space="preserve">IF A CHARITY HAS ANY DOUBT ABOUT WHICH CATEGORY A FUNDRAISING EVENT QUALIFIES FOR THEY </w:t>
      </w:r>
      <w:r w:rsidR="00954F1D">
        <w:rPr>
          <w:b/>
          <w:sz w:val="24"/>
        </w:rPr>
        <w:t>SHOULD</w:t>
      </w:r>
      <w:r w:rsidRPr="00527D20">
        <w:rPr>
          <w:b/>
          <w:sz w:val="24"/>
        </w:rPr>
        <w:t xml:space="preserve"> CONTACT THE COMMISSION.</w:t>
      </w:r>
    </w:p>
    <w:p w14:paraId="05998BC8" w14:textId="1F975B68" w:rsidR="00C70B41" w:rsidRDefault="00C70B41">
      <w:pPr>
        <w:spacing w:after="0"/>
        <w:jc w:val="left"/>
        <w:rPr>
          <w:b/>
          <w:sz w:val="24"/>
        </w:rPr>
      </w:pPr>
      <w:r>
        <w:rPr>
          <w:b/>
          <w:sz w:val="24"/>
        </w:rPr>
        <w:br w:type="page"/>
      </w:r>
    </w:p>
    <w:p w14:paraId="6A803F7E" w14:textId="77777777" w:rsidR="000F6D73" w:rsidRDefault="000F6D73" w:rsidP="000F6D73">
      <w:pPr>
        <w:spacing w:line="360" w:lineRule="auto"/>
        <w:jc w:val="center"/>
        <w:rPr>
          <w:b/>
        </w:rPr>
      </w:pPr>
    </w:p>
    <w:p w14:paraId="7D509449" w14:textId="77777777" w:rsidR="000F6D73" w:rsidRDefault="000F6D73" w:rsidP="000F6D73">
      <w:pPr>
        <w:spacing w:line="360" w:lineRule="auto"/>
        <w:jc w:val="center"/>
        <w:rPr>
          <w:b/>
        </w:rPr>
      </w:pPr>
    </w:p>
    <w:p w14:paraId="4C98BF40" w14:textId="77777777" w:rsidR="000F6D73" w:rsidRDefault="000F6D73" w:rsidP="000F6D73">
      <w:pPr>
        <w:spacing w:line="360" w:lineRule="auto"/>
        <w:jc w:val="center"/>
        <w:rPr>
          <w:b/>
        </w:rPr>
      </w:pPr>
    </w:p>
    <w:p w14:paraId="2F3C3B8F" w14:textId="77777777" w:rsidR="000F6D73" w:rsidRDefault="000F6D73" w:rsidP="000F6D73">
      <w:pPr>
        <w:spacing w:line="360" w:lineRule="auto"/>
        <w:jc w:val="center"/>
        <w:rPr>
          <w:b/>
        </w:rPr>
      </w:pPr>
    </w:p>
    <w:p w14:paraId="1B76096F" w14:textId="77777777" w:rsidR="000F6D73" w:rsidRDefault="000F6D73" w:rsidP="000F6D73">
      <w:pPr>
        <w:spacing w:line="360" w:lineRule="auto"/>
        <w:jc w:val="center"/>
        <w:rPr>
          <w:b/>
        </w:rPr>
      </w:pPr>
    </w:p>
    <w:p w14:paraId="3D9ABB6D" w14:textId="77777777" w:rsidR="000F6D73" w:rsidRDefault="000F6D73" w:rsidP="000F6D73">
      <w:pPr>
        <w:spacing w:line="360" w:lineRule="auto"/>
        <w:jc w:val="center"/>
        <w:rPr>
          <w:b/>
        </w:rPr>
      </w:pPr>
    </w:p>
    <w:p w14:paraId="6826ACE7" w14:textId="77777777" w:rsidR="000F6D73" w:rsidRDefault="000F6D73" w:rsidP="000F6D73">
      <w:pPr>
        <w:spacing w:line="360" w:lineRule="auto"/>
        <w:jc w:val="center"/>
        <w:rPr>
          <w:b/>
        </w:rPr>
      </w:pPr>
    </w:p>
    <w:p w14:paraId="3449665A" w14:textId="7415172A" w:rsidR="00C70B41" w:rsidRPr="00101F25" w:rsidRDefault="00C70B41" w:rsidP="0087064C">
      <w:pPr>
        <w:spacing w:after="120" w:line="360" w:lineRule="auto"/>
        <w:jc w:val="center"/>
        <w:rPr>
          <w:b/>
        </w:rPr>
      </w:pPr>
      <w:r w:rsidRPr="00101F25">
        <w:rPr>
          <w:b/>
        </w:rPr>
        <w:t>Jersey Gambling Commission</w:t>
      </w:r>
    </w:p>
    <w:p w14:paraId="7EE85ADD" w14:textId="06340089" w:rsidR="00C70B41" w:rsidRDefault="00EE4919" w:rsidP="0087064C">
      <w:pPr>
        <w:spacing w:after="120" w:line="360" w:lineRule="auto"/>
        <w:jc w:val="center"/>
      </w:pPr>
      <w:r>
        <w:t>4</w:t>
      </w:r>
      <w:r w:rsidRPr="00EE4919">
        <w:rPr>
          <w:vertAlign w:val="superscript"/>
        </w:rPr>
        <w:t>th</w:t>
      </w:r>
      <w:r>
        <w:t xml:space="preserve"> Floor Osprey House</w:t>
      </w:r>
    </w:p>
    <w:p w14:paraId="14053F85" w14:textId="1D30DBD2" w:rsidR="00EE4919" w:rsidRPr="00101F25" w:rsidRDefault="00E069FF" w:rsidP="0087064C">
      <w:pPr>
        <w:spacing w:after="120" w:line="360" w:lineRule="auto"/>
        <w:jc w:val="center"/>
      </w:pPr>
      <w:r>
        <w:t xml:space="preserve">5-7 </w:t>
      </w:r>
      <w:r w:rsidR="00EE4919">
        <w:t xml:space="preserve">Old Street </w:t>
      </w:r>
    </w:p>
    <w:p w14:paraId="32F2DE20" w14:textId="557B7763" w:rsidR="00C70B41" w:rsidRPr="00101F25" w:rsidRDefault="00EE4919" w:rsidP="0087064C">
      <w:pPr>
        <w:spacing w:after="120" w:line="360" w:lineRule="auto"/>
        <w:jc w:val="center"/>
      </w:pPr>
      <w:r>
        <w:t>St. Helier, Jersey, JE2 3RG</w:t>
      </w:r>
    </w:p>
    <w:p w14:paraId="2A40459F" w14:textId="77777777" w:rsidR="00C70B41" w:rsidRPr="00101F25" w:rsidRDefault="00C70B41" w:rsidP="0087064C">
      <w:pPr>
        <w:spacing w:after="120" w:line="360" w:lineRule="auto"/>
        <w:jc w:val="center"/>
      </w:pPr>
      <w:r w:rsidRPr="00101F25">
        <w:t>Tel: +44 (0)1534 828 540</w:t>
      </w:r>
    </w:p>
    <w:p w14:paraId="7EBBAFFC" w14:textId="77777777" w:rsidR="00C70B41" w:rsidRPr="00101F25" w:rsidRDefault="00C70B41" w:rsidP="0087064C">
      <w:pPr>
        <w:spacing w:after="120" w:line="360" w:lineRule="auto"/>
        <w:jc w:val="center"/>
      </w:pPr>
      <w:r w:rsidRPr="00101F25">
        <w:t>Email: info@jgc.je</w:t>
      </w:r>
    </w:p>
    <w:p w14:paraId="015B64D7" w14:textId="77777777" w:rsidR="00C70B41" w:rsidRPr="00101F25" w:rsidRDefault="00C70B41" w:rsidP="0087064C">
      <w:pPr>
        <w:spacing w:after="120" w:line="360" w:lineRule="auto"/>
        <w:jc w:val="center"/>
      </w:pPr>
      <w:r w:rsidRPr="00101F25">
        <w:t xml:space="preserve">Web: </w:t>
      </w:r>
      <w:hyperlink r:id="rId10" w:history="1">
        <w:r w:rsidRPr="00101F25">
          <w:rPr>
            <w:rStyle w:val="Hyperlink"/>
          </w:rPr>
          <w:t>http://www.jgc.je</w:t>
        </w:r>
      </w:hyperlink>
    </w:p>
    <w:p w14:paraId="0C9A7914" w14:textId="77777777" w:rsidR="00B618FB" w:rsidRPr="00602BB6" w:rsidRDefault="00B618FB" w:rsidP="00602BB6">
      <w:pPr>
        <w:spacing w:after="0"/>
        <w:rPr>
          <w:b/>
          <w:sz w:val="24"/>
        </w:rPr>
      </w:pPr>
    </w:p>
    <w:sectPr w:rsidR="00B618FB" w:rsidRPr="00602BB6" w:rsidSect="009A6C44">
      <w:footerReference w:type="even" r:id="rId11"/>
      <w:footerReference w:type="default" r:id="rId12"/>
      <w:pgSz w:w="11907" w:h="16840" w:code="9"/>
      <w:pgMar w:top="1560" w:right="1440" w:bottom="1440" w:left="1440" w:header="107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DDA5" w14:textId="77777777" w:rsidR="0055405A" w:rsidRDefault="0055405A">
      <w:r>
        <w:separator/>
      </w:r>
    </w:p>
  </w:endnote>
  <w:endnote w:type="continuationSeparator" w:id="0">
    <w:p w14:paraId="4597848E" w14:textId="77777777" w:rsidR="0055405A" w:rsidRDefault="0055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AB16" w14:textId="77777777" w:rsidR="00E1782C" w:rsidRDefault="00E1782C" w:rsidP="00254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3437B" w14:textId="77777777" w:rsidR="00E1782C" w:rsidRDefault="00E1782C" w:rsidP="0030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6714" w14:textId="77777777" w:rsidR="00E1782C" w:rsidRDefault="00E1782C" w:rsidP="00254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E08">
      <w:rPr>
        <w:rStyle w:val="PageNumber"/>
        <w:noProof/>
      </w:rPr>
      <w:t>3</w:t>
    </w:r>
    <w:r>
      <w:rPr>
        <w:rStyle w:val="PageNumber"/>
      </w:rPr>
      <w:fldChar w:fldCharType="end"/>
    </w:r>
  </w:p>
  <w:p w14:paraId="4715581C" w14:textId="77777777" w:rsidR="00E1782C" w:rsidRDefault="00E1782C" w:rsidP="00300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690D" w14:textId="77777777" w:rsidR="0055405A" w:rsidRDefault="0055405A">
      <w:r>
        <w:separator/>
      </w:r>
    </w:p>
  </w:footnote>
  <w:footnote w:type="continuationSeparator" w:id="0">
    <w:p w14:paraId="50C0196F" w14:textId="77777777" w:rsidR="0055405A" w:rsidRDefault="0055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pt;height:16pt" o:bullet="t">
        <v:imagedata r:id="rId1" o:title=""/>
      </v:shape>
    </w:pict>
  </w:numPicBullet>
  <w:abstractNum w:abstractNumId="0" w15:restartNumberingAfterBreak="0">
    <w:nsid w:val="FFFFFF7C"/>
    <w:multiLevelType w:val="singleLevel"/>
    <w:tmpl w:val="19787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CAB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842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0E5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2A6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4EA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306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40C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6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8011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7E66F0"/>
    <w:multiLevelType w:val="hybridMultilevel"/>
    <w:tmpl w:val="ABC89548"/>
    <w:lvl w:ilvl="0" w:tplc="A99438AC">
      <w:start w:val="1"/>
      <w:numFmt w:val="lowerLetter"/>
      <w:lvlText w:val="(%1)"/>
      <w:lvlJc w:val="left"/>
      <w:pPr>
        <w:ind w:left="13" w:hanging="58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15:restartNumberingAfterBreak="0">
    <w:nsid w:val="09BE7B36"/>
    <w:multiLevelType w:val="hybridMultilevel"/>
    <w:tmpl w:val="2D10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80106"/>
    <w:multiLevelType w:val="hybridMultilevel"/>
    <w:tmpl w:val="C0E0E37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CD02725"/>
    <w:multiLevelType w:val="hybridMultilevel"/>
    <w:tmpl w:val="D00E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13B75"/>
    <w:multiLevelType w:val="hybridMultilevel"/>
    <w:tmpl w:val="795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A75FB"/>
    <w:multiLevelType w:val="hybridMultilevel"/>
    <w:tmpl w:val="D7AC7D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316D3"/>
    <w:multiLevelType w:val="hybridMultilevel"/>
    <w:tmpl w:val="AB8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376FD"/>
    <w:multiLevelType w:val="hybridMultilevel"/>
    <w:tmpl w:val="5204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352C1"/>
    <w:multiLevelType w:val="hybridMultilevel"/>
    <w:tmpl w:val="E4C63144"/>
    <w:lvl w:ilvl="0" w:tplc="3972124E">
      <w:start w:val="1"/>
      <w:numFmt w:val="bullet"/>
      <w:lvlText w:val="–"/>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4476B2"/>
    <w:multiLevelType w:val="hybridMultilevel"/>
    <w:tmpl w:val="C84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A5AE7"/>
    <w:multiLevelType w:val="hybridMultilevel"/>
    <w:tmpl w:val="4F12F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390CD1"/>
    <w:multiLevelType w:val="hybridMultilevel"/>
    <w:tmpl w:val="A75A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75621"/>
    <w:multiLevelType w:val="hybridMultilevel"/>
    <w:tmpl w:val="F3BC018C"/>
    <w:lvl w:ilvl="0" w:tplc="3972124E">
      <w:start w:val="1"/>
      <w:numFmt w:val="bullet"/>
      <w:lvlText w:val="–"/>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175A2"/>
    <w:multiLevelType w:val="hybridMultilevel"/>
    <w:tmpl w:val="06E6E56C"/>
    <w:lvl w:ilvl="0" w:tplc="E5F0E0EE">
      <w:start w:val="1"/>
      <w:numFmt w:val="lowerLetter"/>
      <w:lvlText w:val="(%1)"/>
      <w:lvlJc w:val="left"/>
      <w:pPr>
        <w:ind w:left="1207" w:hanging="64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2E3409A"/>
    <w:multiLevelType w:val="hybridMultilevel"/>
    <w:tmpl w:val="4C94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C4A35"/>
    <w:multiLevelType w:val="hybridMultilevel"/>
    <w:tmpl w:val="41A4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F7A8D"/>
    <w:multiLevelType w:val="hybridMultilevel"/>
    <w:tmpl w:val="BDB0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61BEC"/>
    <w:multiLevelType w:val="hybridMultilevel"/>
    <w:tmpl w:val="5FAEFC30"/>
    <w:lvl w:ilvl="0" w:tplc="E934F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C066B"/>
    <w:multiLevelType w:val="hybridMultilevel"/>
    <w:tmpl w:val="A8A8D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12A30"/>
    <w:multiLevelType w:val="hybridMultilevel"/>
    <w:tmpl w:val="3F1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51523"/>
    <w:multiLevelType w:val="hybridMultilevel"/>
    <w:tmpl w:val="29FE7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01ED2"/>
    <w:multiLevelType w:val="hybridMultilevel"/>
    <w:tmpl w:val="120E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C1A09"/>
    <w:multiLevelType w:val="hybridMultilevel"/>
    <w:tmpl w:val="8378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36006"/>
    <w:multiLevelType w:val="hybridMultilevel"/>
    <w:tmpl w:val="0A2EC3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0"/>
  </w:num>
  <w:num w:numId="14">
    <w:abstractNumId w:val="12"/>
  </w:num>
  <w:num w:numId="15">
    <w:abstractNumId w:val="10"/>
  </w:num>
  <w:num w:numId="16">
    <w:abstractNumId w:val="28"/>
  </w:num>
  <w:num w:numId="17">
    <w:abstractNumId w:val="17"/>
  </w:num>
  <w:num w:numId="18">
    <w:abstractNumId w:val="22"/>
  </w:num>
  <w:num w:numId="19">
    <w:abstractNumId w:val="14"/>
  </w:num>
  <w:num w:numId="20">
    <w:abstractNumId w:val="13"/>
  </w:num>
  <w:num w:numId="21">
    <w:abstractNumId w:val="31"/>
  </w:num>
  <w:num w:numId="22">
    <w:abstractNumId w:val="21"/>
  </w:num>
  <w:num w:numId="23">
    <w:abstractNumId w:val="33"/>
  </w:num>
  <w:num w:numId="24">
    <w:abstractNumId w:val="32"/>
  </w:num>
  <w:num w:numId="25">
    <w:abstractNumId w:val="15"/>
  </w:num>
  <w:num w:numId="26">
    <w:abstractNumId w:val="26"/>
  </w:num>
  <w:num w:numId="27">
    <w:abstractNumId w:val="27"/>
  </w:num>
  <w:num w:numId="28">
    <w:abstractNumId w:val="24"/>
  </w:num>
  <w:num w:numId="29">
    <w:abstractNumId w:val="29"/>
  </w:num>
  <w:num w:numId="30">
    <w:abstractNumId w:val="25"/>
  </w:num>
  <w:num w:numId="31">
    <w:abstractNumId w:val="34"/>
  </w:num>
  <w:num w:numId="32">
    <w:abstractNumId w:val="11"/>
  </w:num>
  <w:num w:numId="33">
    <w:abstractNumId w:val="16"/>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DC"/>
    <w:rsid w:val="000011F3"/>
    <w:rsid w:val="00002DAF"/>
    <w:rsid w:val="00002EEA"/>
    <w:rsid w:val="0000326A"/>
    <w:rsid w:val="0000348D"/>
    <w:rsid w:val="00003696"/>
    <w:rsid w:val="00003B57"/>
    <w:rsid w:val="00004F47"/>
    <w:rsid w:val="0000580A"/>
    <w:rsid w:val="00005CA0"/>
    <w:rsid w:val="000071ED"/>
    <w:rsid w:val="00007F31"/>
    <w:rsid w:val="0001012D"/>
    <w:rsid w:val="0001114C"/>
    <w:rsid w:val="000125C9"/>
    <w:rsid w:val="00013ADD"/>
    <w:rsid w:val="0001449F"/>
    <w:rsid w:val="000148D7"/>
    <w:rsid w:val="00014F0B"/>
    <w:rsid w:val="00015148"/>
    <w:rsid w:val="00015154"/>
    <w:rsid w:val="00015A85"/>
    <w:rsid w:val="000163BE"/>
    <w:rsid w:val="00016449"/>
    <w:rsid w:val="00016482"/>
    <w:rsid w:val="00016A1B"/>
    <w:rsid w:val="00016A3C"/>
    <w:rsid w:val="00016E6F"/>
    <w:rsid w:val="00017CD8"/>
    <w:rsid w:val="00020A7F"/>
    <w:rsid w:val="00020EF2"/>
    <w:rsid w:val="00021338"/>
    <w:rsid w:val="0002250D"/>
    <w:rsid w:val="00022B96"/>
    <w:rsid w:val="00022EE2"/>
    <w:rsid w:val="00023E02"/>
    <w:rsid w:val="00023E34"/>
    <w:rsid w:val="00024857"/>
    <w:rsid w:val="00024F12"/>
    <w:rsid w:val="000250ED"/>
    <w:rsid w:val="00025911"/>
    <w:rsid w:val="00026022"/>
    <w:rsid w:val="000269A2"/>
    <w:rsid w:val="00026CAE"/>
    <w:rsid w:val="0002752A"/>
    <w:rsid w:val="0002773E"/>
    <w:rsid w:val="00030327"/>
    <w:rsid w:val="000308E8"/>
    <w:rsid w:val="00030B4C"/>
    <w:rsid w:val="000318B7"/>
    <w:rsid w:val="000327BA"/>
    <w:rsid w:val="0003286D"/>
    <w:rsid w:val="00032C8C"/>
    <w:rsid w:val="00032DC1"/>
    <w:rsid w:val="00033064"/>
    <w:rsid w:val="00033942"/>
    <w:rsid w:val="000348F4"/>
    <w:rsid w:val="00035137"/>
    <w:rsid w:val="0003546B"/>
    <w:rsid w:val="0003560E"/>
    <w:rsid w:val="00036A17"/>
    <w:rsid w:val="00037038"/>
    <w:rsid w:val="00037BBD"/>
    <w:rsid w:val="000402A9"/>
    <w:rsid w:val="00041336"/>
    <w:rsid w:val="00041391"/>
    <w:rsid w:val="00042899"/>
    <w:rsid w:val="00043750"/>
    <w:rsid w:val="0004449F"/>
    <w:rsid w:val="000444B7"/>
    <w:rsid w:val="00045856"/>
    <w:rsid w:val="00045930"/>
    <w:rsid w:val="00046442"/>
    <w:rsid w:val="00046E38"/>
    <w:rsid w:val="00047852"/>
    <w:rsid w:val="00047ACB"/>
    <w:rsid w:val="000511C4"/>
    <w:rsid w:val="00051902"/>
    <w:rsid w:val="00053B5F"/>
    <w:rsid w:val="00053D23"/>
    <w:rsid w:val="000541D4"/>
    <w:rsid w:val="000541DF"/>
    <w:rsid w:val="000544E3"/>
    <w:rsid w:val="000545C1"/>
    <w:rsid w:val="00056158"/>
    <w:rsid w:val="00057C12"/>
    <w:rsid w:val="00057D40"/>
    <w:rsid w:val="000608BB"/>
    <w:rsid w:val="00060DFB"/>
    <w:rsid w:val="00061103"/>
    <w:rsid w:val="0006148E"/>
    <w:rsid w:val="00062484"/>
    <w:rsid w:val="000641AD"/>
    <w:rsid w:val="00064BEA"/>
    <w:rsid w:val="00064FC6"/>
    <w:rsid w:val="00065164"/>
    <w:rsid w:val="00065C93"/>
    <w:rsid w:val="00065E7D"/>
    <w:rsid w:val="000662F5"/>
    <w:rsid w:val="000669F1"/>
    <w:rsid w:val="00067011"/>
    <w:rsid w:val="0006795D"/>
    <w:rsid w:val="00067EE8"/>
    <w:rsid w:val="00072281"/>
    <w:rsid w:val="00073CBE"/>
    <w:rsid w:val="0007447D"/>
    <w:rsid w:val="00074D06"/>
    <w:rsid w:val="00075298"/>
    <w:rsid w:val="0007533A"/>
    <w:rsid w:val="00075359"/>
    <w:rsid w:val="00075700"/>
    <w:rsid w:val="000759F1"/>
    <w:rsid w:val="00076F79"/>
    <w:rsid w:val="0007764C"/>
    <w:rsid w:val="0008092F"/>
    <w:rsid w:val="00081C89"/>
    <w:rsid w:val="000833DB"/>
    <w:rsid w:val="00083657"/>
    <w:rsid w:val="00084145"/>
    <w:rsid w:val="00084210"/>
    <w:rsid w:val="000846CD"/>
    <w:rsid w:val="00084E95"/>
    <w:rsid w:val="00085CD4"/>
    <w:rsid w:val="000865D3"/>
    <w:rsid w:val="00086E39"/>
    <w:rsid w:val="000871CB"/>
    <w:rsid w:val="000873AF"/>
    <w:rsid w:val="00087810"/>
    <w:rsid w:val="0009226B"/>
    <w:rsid w:val="00092583"/>
    <w:rsid w:val="000940C9"/>
    <w:rsid w:val="0009472E"/>
    <w:rsid w:val="00094AA2"/>
    <w:rsid w:val="00094FFB"/>
    <w:rsid w:val="000953C2"/>
    <w:rsid w:val="0009560B"/>
    <w:rsid w:val="00095C46"/>
    <w:rsid w:val="00095D2C"/>
    <w:rsid w:val="00095EB6"/>
    <w:rsid w:val="00096693"/>
    <w:rsid w:val="000A10F4"/>
    <w:rsid w:val="000A1223"/>
    <w:rsid w:val="000A1D22"/>
    <w:rsid w:val="000A2223"/>
    <w:rsid w:val="000A2596"/>
    <w:rsid w:val="000A45EF"/>
    <w:rsid w:val="000A5929"/>
    <w:rsid w:val="000A6716"/>
    <w:rsid w:val="000A6F29"/>
    <w:rsid w:val="000A7182"/>
    <w:rsid w:val="000A777E"/>
    <w:rsid w:val="000A784B"/>
    <w:rsid w:val="000A7C52"/>
    <w:rsid w:val="000A7DEB"/>
    <w:rsid w:val="000B0B5A"/>
    <w:rsid w:val="000B1041"/>
    <w:rsid w:val="000B10AB"/>
    <w:rsid w:val="000B14E1"/>
    <w:rsid w:val="000B1D55"/>
    <w:rsid w:val="000B2353"/>
    <w:rsid w:val="000B2A67"/>
    <w:rsid w:val="000B3B5B"/>
    <w:rsid w:val="000B4113"/>
    <w:rsid w:val="000B476E"/>
    <w:rsid w:val="000B4780"/>
    <w:rsid w:val="000B4EA7"/>
    <w:rsid w:val="000B50C3"/>
    <w:rsid w:val="000B54E0"/>
    <w:rsid w:val="000B5524"/>
    <w:rsid w:val="000B55B3"/>
    <w:rsid w:val="000B5FFA"/>
    <w:rsid w:val="000B6608"/>
    <w:rsid w:val="000B6A22"/>
    <w:rsid w:val="000B6CB3"/>
    <w:rsid w:val="000B6DB1"/>
    <w:rsid w:val="000B75AC"/>
    <w:rsid w:val="000C017B"/>
    <w:rsid w:val="000C1262"/>
    <w:rsid w:val="000C2046"/>
    <w:rsid w:val="000C31B5"/>
    <w:rsid w:val="000C333B"/>
    <w:rsid w:val="000C370F"/>
    <w:rsid w:val="000C381F"/>
    <w:rsid w:val="000C3D2E"/>
    <w:rsid w:val="000C40D5"/>
    <w:rsid w:val="000C4389"/>
    <w:rsid w:val="000C4DE8"/>
    <w:rsid w:val="000C6024"/>
    <w:rsid w:val="000C6D60"/>
    <w:rsid w:val="000C73BF"/>
    <w:rsid w:val="000D0299"/>
    <w:rsid w:val="000D08CD"/>
    <w:rsid w:val="000D0FCB"/>
    <w:rsid w:val="000D12AE"/>
    <w:rsid w:val="000D217F"/>
    <w:rsid w:val="000D2497"/>
    <w:rsid w:val="000D250B"/>
    <w:rsid w:val="000D2C42"/>
    <w:rsid w:val="000D3708"/>
    <w:rsid w:val="000D4108"/>
    <w:rsid w:val="000D47A0"/>
    <w:rsid w:val="000D47C1"/>
    <w:rsid w:val="000D529B"/>
    <w:rsid w:val="000D54D4"/>
    <w:rsid w:val="000D6686"/>
    <w:rsid w:val="000D7124"/>
    <w:rsid w:val="000D771C"/>
    <w:rsid w:val="000E051F"/>
    <w:rsid w:val="000E156B"/>
    <w:rsid w:val="000E1BDB"/>
    <w:rsid w:val="000E1F7B"/>
    <w:rsid w:val="000E3235"/>
    <w:rsid w:val="000E33A3"/>
    <w:rsid w:val="000E35DD"/>
    <w:rsid w:val="000E39B1"/>
    <w:rsid w:val="000E440F"/>
    <w:rsid w:val="000E546F"/>
    <w:rsid w:val="000E567F"/>
    <w:rsid w:val="000E575B"/>
    <w:rsid w:val="000E5877"/>
    <w:rsid w:val="000E5A71"/>
    <w:rsid w:val="000E636D"/>
    <w:rsid w:val="000E66FE"/>
    <w:rsid w:val="000E7115"/>
    <w:rsid w:val="000E7C35"/>
    <w:rsid w:val="000E7F17"/>
    <w:rsid w:val="000F0865"/>
    <w:rsid w:val="000F0B5D"/>
    <w:rsid w:val="000F14EB"/>
    <w:rsid w:val="000F1AFC"/>
    <w:rsid w:val="000F1C6F"/>
    <w:rsid w:val="000F222E"/>
    <w:rsid w:val="000F300B"/>
    <w:rsid w:val="000F3404"/>
    <w:rsid w:val="000F38FA"/>
    <w:rsid w:val="000F3BDB"/>
    <w:rsid w:val="000F484E"/>
    <w:rsid w:val="000F4E87"/>
    <w:rsid w:val="000F5384"/>
    <w:rsid w:val="000F6271"/>
    <w:rsid w:val="000F6D73"/>
    <w:rsid w:val="000F717C"/>
    <w:rsid w:val="000F7F30"/>
    <w:rsid w:val="001003DD"/>
    <w:rsid w:val="001004AD"/>
    <w:rsid w:val="00100DB8"/>
    <w:rsid w:val="00100F6A"/>
    <w:rsid w:val="00101852"/>
    <w:rsid w:val="00101C64"/>
    <w:rsid w:val="00103BD4"/>
    <w:rsid w:val="00103C39"/>
    <w:rsid w:val="001048E1"/>
    <w:rsid w:val="00104AE9"/>
    <w:rsid w:val="00105043"/>
    <w:rsid w:val="00110B6A"/>
    <w:rsid w:val="00110E20"/>
    <w:rsid w:val="00110EB4"/>
    <w:rsid w:val="00111448"/>
    <w:rsid w:val="00111DAD"/>
    <w:rsid w:val="0011284A"/>
    <w:rsid w:val="001129F8"/>
    <w:rsid w:val="00112F64"/>
    <w:rsid w:val="00115238"/>
    <w:rsid w:val="00115BFD"/>
    <w:rsid w:val="00115FDB"/>
    <w:rsid w:val="001160F7"/>
    <w:rsid w:val="0011688E"/>
    <w:rsid w:val="00120D1C"/>
    <w:rsid w:val="00120F05"/>
    <w:rsid w:val="00121455"/>
    <w:rsid w:val="00121B45"/>
    <w:rsid w:val="00121F5E"/>
    <w:rsid w:val="001233A0"/>
    <w:rsid w:val="001244BA"/>
    <w:rsid w:val="0012529A"/>
    <w:rsid w:val="001255FB"/>
    <w:rsid w:val="00126595"/>
    <w:rsid w:val="00126792"/>
    <w:rsid w:val="0012722D"/>
    <w:rsid w:val="00130906"/>
    <w:rsid w:val="00130BB7"/>
    <w:rsid w:val="00131259"/>
    <w:rsid w:val="001312F0"/>
    <w:rsid w:val="00131D0C"/>
    <w:rsid w:val="00132361"/>
    <w:rsid w:val="00132472"/>
    <w:rsid w:val="00132827"/>
    <w:rsid w:val="001330FB"/>
    <w:rsid w:val="001340CB"/>
    <w:rsid w:val="00134E8D"/>
    <w:rsid w:val="0013619B"/>
    <w:rsid w:val="00136419"/>
    <w:rsid w:val="001408AE"/>
    <w:rsid w:val="001411BF"/>
    <w:rsid w:val="001412CF"/>
    <w:rsid w:val="0014403B"/>
    <w:rsid w:val="00146174"/>
    <w:rsid w:val="00146582"/>
    <w:rsid w:val="0014658A"/>
    <w:rsid w:val="00146D8A"/>
    <w:rsid w:val="0014700C"/>
    <w:rsid w:val="0014712B"/>
    <w:rsid w:val="00152000"/>
    <w:rsid w:val="00152243"/>
    <w:rsid w:val="00152A4F"/>
    <w:rsid w:val="00152B98"/>
    <w:rsid w:val="001531BE"/>
    <w:rsid w:val="0015327E"/>
    <w:rsid w:val="001533D3"/>
    <w:rsid w:val="00153C5B"/>
    <w:rsid w:val="00153F7B"/>
    <w:rsid w:val="00154D6F"/>
    <w:rsid w:val="00154E93"/>
    <w:rsid w:val="001552B8"/>
    <w:rsid w:val="00155590"/>
    <w:rsid w:val="00155A67"/>
    <w:rsid w:val="0015607E"/>
    <w:rsid w:val="001560DD"/>
    <w:rsid w:val="00157B78"/>
    <w:rsid w:val="001604B3"/>
    <w:rsid w:val="001604D9"/>
    <w:rsid w:val="001609FF"/>
    <w:rsid w:val="00161676"/>
    <w:rsid w:val="001622E9"/>
    <w:rsid w:val="001642D2"/>
    <w:rsid w:val="00164D12"/>
    <w:rsid w:val="00165949"/>
    <w:rsid w:val="00166B29"/>
    <w:rsid w:val="001704E1"/>
    <w:rsid w:val="001711BC"/>
    <w:rsid w:val="00171634"/>
    <w:rsid w:val="00171EA9"/>
    <w:rsid w:val="00172333"/>
    <w:rsid w:val="00172CED"/>
    <w:rsid w:val="00173EF8"/>
    <w:rsid w:val="00173FB0"/>
    <w:rsid w:val="0017420B"/>
    <w:rsid w:val="00175A5F"/>
    <w:rsid w:val="00175BF6"/>
    <w:rsid w:val="00176437"/>
    <w:rsid w:val="00177852"/>
    <w:rsid w:val="00177D06"/>
    <w:rsid w:val="00177E20"/>
    <w:rsid w:val="0018025C"/>
    <w:rsid w:val="00182BCC"/>
    <w:rsid w:val="00182E91"/>
    <w:rsid w:val="001830EC"/>
    <w:rsid w:val="00184A06"/>
    <w:rsid w:val="0018560B"/>
    <w:rsid w:val="00185A32"/>
    <w:rsid w:val="00185BB9"/>
    <w:rsid w:val="001864F8"/>
    <w:rsid w:val="001866BC"/>
    <w:rsid w:val="00190196"/>
    <w:rsid w:val="0019022C"/>
    <w:rsid w:val="00190F69"/>
    <w:rsid w:val="001914B7"/>
    <w:rsid w:val="0019160E"/>
    <w:rsid w:val="00191C4F"/>
    <w:rsid w:val="001924C4"/>
    <w:rsid w:val="00192C25"/>
    <w:rsid w:val="001949EA"/>
    <w:rsid w:val="00195EB1"/>
    <w:rsid w:val="001967FB"/>
    <w:rsid w:val="00197B86"/>
    <w:rsid w:val="00197E7C"/>
    <w:rsid w:val="001A0406"/>
    <w:rsid w:val="001A0EC5"/>
    <w:rsid w:val="001A22F2"/>
    <w:rsid w:val="001A2998"/>
    <w:rsid w:val="001A3404"/>
    <w:rsid w:val="001A373F"/>
    <w:rsid w:val="001A3823"/>
    <w:rsid w:val="001A4380"/>
    <w:rsid w:val="001A52BD"/>
    <w:rsid w:val="001A5F64"/>
    <w:rsid w:val="001A6444"/>
    <w:rsid w:val="001A74B5"/>
    <w:rsid w:val="001A7D0D"/>
    <w:rsid w:val="001A7DDF"/>
    <w:rsid w:val="001B1116"/>
    <w:rsid w:val="001B17AC"/>
    <w:rsid w:val="001B1E53"/>
    <w:rsid w:val="001B2729"/>
    <w:rsid w:val="001B296B"/>
    <w:rsid w:val="001B2D2F"/>
    <w:rsid w:val="001B3D1C"/>
    <w:rsid w:val="001B4145"/>
    <w:rsid w:val="001B425E"/>
    <w:rsid w:val="001B4DFB"/>
    <w:rsid w:val="001B5275"/>
    <w:rsid w:val="001B5809"/>
    <w:rsid w:val="001B66FD"/>
    <w:rsid w:val="001C08A8"/>
    <w:rsid w:val="001C0DE9"/>
    <w:rsid w:val="001C1E74"/>
    <w:rsid w:val="001C3029"/>
    <w:rsid w:val="001C32CA"/>
    <w:rsid w:val="001C3304"/>
    <w:rsid w:val="001C3464"/>
    <w:rsid w:val="001C3CD1"/>
    <w:rsid w:val="001C5E4E"/>
    <w:rsid w:val="001C5F80"/>
    <w:rsid w:val="001C6FE8"/>
    <w:rsid w:val="001D0C50"/>
    <w:rsid w:val="001D0DD7"/>
    <w:rsid w:val="001D1CF0"/>
    <w:rsid w:val="001D2C89"/>
    <w:rsid w:val="001D36E1"/>
    <w:rsid w:val="001D5379"/>
    <w:rsid w:val="001D5E84"/>
    <w:rsid w:val="001D5F6D"/>
    <w:rsid w:val="001D606F"/>
    <w:rsid w:val="001D68D8"/>
    <w:rsid w:val="001D6F90"/>
    <w:rsid w:val="001E0DF5"/>
    <w:rsid w:val="001E0F3C"/>
    <w:rsid w:val="001E1D51"/>
    <w:rsid w:val="001E2214"/>
    <w:rsid w:val="001E3660"/>
    <w:rsid w:val="001E370A"/>
    <w:rsid w:val="001E3D68"/>
    <w:rsid w:val="001E3F6B"/>
    <w:rsid w:val="001E4685"/>
    <w:rsid w:val="001E4AFF"/>
    <w:rsid w:val="001E4CE9"/>
    <w:rsid w:val="001E564A"/>
    <w:rsid w:val="001E6068"/>
    <w:rsid w:val="001E6482"/>
    <w:rsid w:val="001E6CE6"/>
    <w:rsid w:val="001F2267"/>
    <w:rsid w:val="001F265B"/>
    <w:rsid w:val="001F3555"/>
    <w:rsid w:val="001F3FFB"/>
    <w:rsid w:val="001F4F3A"/>
    <w:rsid w:val="001F4FB1"/>
    <w:rsid w:val="001F5143"/>
    <w:rsid w:val="001F52DC"/>
    <w:rsid w:val="001F5D3D"/>
    <w:rsid w:val="001F62CD"/>
    <w:rsid w:val="001F73CE"/>
    <w:rsid w:val="001F7BAB"/>
    <w:rsid w:val="00200FAA"/>
    <w:rsid w:val="00202806"/>
    <w:rsid w:val="00202904"/>
    <w:rsid w:val="00203122"/>
    <w:rsid w:val="00203414"/>
    <w:rsid w:val="002039FA"/>
    <w:rsid w:val="00203E3E"/>
    <w:rsid w:val="00204974"/>
    <w:rsid w:val="00204F55"/>
    <w:rsid w:val="00205682"/>
    <w:rsid w:val="00205764"/>
    <w:rsid w:val="0020577D"/>
    <w:rsid w:val="002066D0"/>
    <w:rsid w:val="002068E1"/>
    <w:rsid w:val="00206C01"/>
    <w:rsid w:val="00207661"/>
    <w:rsid w:val="00207BB0"/>
    <w:rsid w:val="00212234"/>
    <w:rsid w:val="0021286C"/>
    <w:rsid w:val="002130EB"/>
    <w:rsid w:val="00214BED"/>
    <w:rsid w:val="00214F77"/>
    <w:rsid w:val="00215582"/>
    <w:rsid w:val="00217BDC"/>
    <w:rsid w:val="00220422"/>
    <w:rsid w:val="002211A3"/>
    <w:rsid w:val="00221553"/>
    <w:rsid w:val="00221EDC"/>
    <w:rsid w:val="00221EF8"/>
    <w:rsid w:val="002220C1"/>
    <w:rsid w:val="0022256A"/>
    <w:rsid w:val="002228A0"/>
    <w:rsid w:val="00222E9B"/>
    <w:rsid w:val="002242B5"/>
    <w:rsid w:val="0023003E"/>
    <w:rsid w:val="00230C81"/>
    <w:rsid w:val="002315DB"/>
    <w:rsid w:val="00233FE9"/>
    <w:rsid w:val="00234D5F"/>
    <w:rsid w:val="0023629E"/>
    <w:rsid w:val="002365B4"/>
    <w:rsid w:val="00236903"/>
    <w:rsid w:val="00236F79"/>
    <w:rsid w:val="00237818"/>
    <w:rsid w:val="00237B16"/>
    <w:rsid w:val="00237CC0"/>
    <w:rsid w:val="00237E42"/>
    <w:rsid w:val="00237EE9"/>
    <w:rsid w:val="002401D9"/>
    <w:rsid w:val="00241EE2"/>
    <w:rsid w:val="00242287"/>
    <w:rsid w:val="0024281C"/>
    <w:rsid w:val="002428E0"/>
    <w:rsid w:val="00242A75"/>
    <w:rsid w:val="00242D66"/>
    <w:rsid w:val="002438DC"/>
    <w:rsid w:val="0024403D"/>
    <w:rsid w:val="002447ED"/>
    <w:rsid w:val="00244823"/>
    <w:rsid w:val="00244AFB"/>
    <w:rsid w:val="00245484"/>
    <w:rsid w:val="00246496"/>
    <w:rsid w:val="00247B16"/>
    <w:rsid w:val="00250079"/>
    <w:rsid w:val="00250208"/>
    <w:rsid w:val="002504FC"/>
    <w:rsid w:val="00250C63"/>
    <w:rsid w:val="00251C74"/>
    <w:rsid w:val="002524B9"/>
    <w:rsid w:val="00252962"/>
    <w:rsid w:val="00252DFF"/>
    <w:rsid w:val="00252EED"/>
    <w:rsid w:val="0025448C"/>
    <w:rsid w:val="0025476B"/>
    <w:rsid w:val="00256E42"/>
    <w:rsid w:val="00256E44"/>
    <w:rsid w:val="0026021D"/>
    <w:rsid w:val="0026076F"/>
    <w:rsid w:val="0026139F"/>
    <w:rsid w:val="00261EAB"/>
    <w:rsid w:val="00262517"/>
    <w:rsid w:val="0026313E"/>
    <w:rsid w:val="00263150"/>
    <w:rsid w:val="002631EA"/>
    <w:rsid w:val="0026366E"/>
    <w:rsid w:val="00263AAF"/>
    <w:rsid w:val="00263E8C"/>
    <w:rsid w:val="0026475E"/>
    <w:rsid w:val="00264A7D"/>
    <w:rsid w:val="00264AB3"/>
    <w:rsid w:val="00265165"/>
    <w:rsid w:val="00265988"/>
    <w:rsid w:val="00265E78"/>
    <w:rsid w:val="002662E2"/>
    <w:rsid w:val="00266BFB"/>
    <w:rsid w:val="00267A06"/>
    <w:rsid w:val="00270BAC"/>
    <w:rsid w:val="00270E77"/>
    <w:rsid w:val="00270F68"/>
    <w:rsid w:val="00271066"/>
    <w:rsid w:val="002716F3"/>
    <w:rsid w:val="0027275B"/>
    <w:rsid w:val="00272974"/>
    <w:rsid w:val="00272E79"/>
    <w:rsid w:val="00273493"/>
    <w:rsid w:val="00273550"/>
    <w:rsid w:val="00273A3E"/>
    <w:rsid w:val="00273BED"/>
    <w:rsid w:val="00273CB7"/>
    <w:rsid w:val="00274915"/>
    <w:rsid w:val="00274E95"/>
    <w:rsid w:val="00276901"/>
    <w:rsid w:val="00277637"/>
    <w:rsid w:val="002778F5"/>
    <w:rsid w:val="002804F9"/>
    <w:rsid w:val="00281585"/>
    <w:rsid w:val="0028167B"/>
    <w:rsid w:val="002833DD"/>
    <w:rsid w:val="00283491"/>
    <w:rsid w:val="002836F1"/>
    <w:rsid w:val="00283768"/>
    <w:rsid w:val="00284547"/>
    <w:rsid w:val="00284BCB"/>
    <w:rsid w:val="00284BD2"/>
    <w:rsid w:val="00284F20"/>
    <w:rsid w:val="00284F94"/>
    <w:rsid w:val="0028624F"/>
    <w:rsid w:val="00286313"/>
    <w:rsid w:val="002864C6"/>
    <w:rsid w:val="00286A4E"/>
    <w:rsid w:val="0028712D"/>
    <w:rsid w:val="00287340"/>
    <w:rsid w:val="002876DA"/>
    <w:rsid w:val="00287A4B"/>
    <w:rsid w:val="00287DDB"/>
    <w:rsid w:val="002907DA"/>
    <w:rsid w:val="00290FC1"/>
    <w:rsid w:val="002926AC"/>
    <w:rsid w:val="00292BB4"/>
    <w:rsid w:val="00293D86"/>
    <w:rsid w:val="00293DAB"/>
    <w:rsid w:val="0029442F"/>
    <w:rsid w:val="00295B37"/>
    <w:rsid w:val="002964E4"/>
    <w:rsid w:val="00296CEE"/>
    <w:rsid w:val="002974E7"/>
    <w:rsid w:val="002979DF"/>
    <w:rsid w:val="00297CB4"/>
    <w:rsid w:val="002A0F3D"/>
    <w:rsid w:val="002A2315"/>
    <w:rsid w:val="002A2F68"/>
    <w:rsid w:val="002A31F1"/>
    <w:rsid w:val="002A3457"/>
    <w:rsid w:val="002A55FE"/>
    <w:rsid w:val="002A5B22"/>
    <w:rsid w:val="002A5DE8"/>
    <w:rsid w:val="002A6324"/>
    <w:rsid w:val="002A739F"/>
    <w:rsid w:val="002A7446"/>
    <w:rsid w:val="002B1725"/>
    <w:rsid w:val="002B3163"/>
    <w:rsid w:val="002B3FD5"/>
    <w:rsid w:val="002B402F"/>
    <w:rsid w:val="002B515E"/>
    <w:rsid w:val="002B603B"/>
    <w:rsid w:val="002B6587"/>
    <w:rsid w:val="002B6897"/>
    <w:rsid w:val="002B7C28"/>
    <w:rsid w:val="002B7CC6"/>
    <w:rsid w:val="002C0582"/>
    <w:rsid w:val="002C0814"/>
    <w:rsid w:val="002C1392"/>
    <w:rsid w:val="002C1DFC"/>
    <w:rsid w:val="002C23CD"/>
    <w:rsid w:val="002C298E"/>
    <w:rsid w:val="002C30C4"/>
    <w:rsid w:val="002C3A90"/>
    <w:rsid w:val="002C5A6D"/>
    <w:rsid w:val="002C7164"/>
    <w:rsid w:val="002D06CD"/>
    <w:rsid w:val="002D087A"/>
    <w:rsid w:val="002D1036"/>
    <w:rsid w:val="002D2216"/>
    <w:rsid w:val="002D33EB"/>
    <w:rsid w:val="002D4ADE"/>
    <w:rsid w:val="002D4CE2"/>
    <w:rsid w:val="002D4DDF"/>
    <w:rsid w:val="002D5607"/>
    <w:rsid w:val="002D6632"/>
    <w:rsid w:val="002D703A"/>
    <w:rsid w:val="002D74DD"/>
    <w:rsid w:val="002E003A"/>
    <w:rsid w:val="002E0494"/>
    <w:rsid w:val="002E0635"/>
    <w:rsid w:val="002E0EC1"/>
    <w:rsid w:val="002E1890"/>
    <w:rsid w:val="002E2E11"/>
    <w:rsid w:val="002E3847"/>
    <w:rsid w:val="002E5170"/>
    <w:rsid w:val="002E68F6"/>
    <w:rsid w:val="002E6EA3"/>
    <w:rsid w:val="002E7376"/>
    <w:rsid w:val="002E76DA"/>
    <w:rsid w:val="002E77C2"/>
    <w:rsid w:val="002E7A42"/>
    <w:rsid w:val="002F0784"/>
    <w:rsid w:val="002F0CD1"/>
    <w:rsid w:val="002F13B7"/>
    <w:rsid w:val="002F1424"/>
    <w:rsid w:val="002F21AD"/>
    <w:rsid w:val="002F26D1"/>
    <w:rsid w:val="002F39B7"/>
    <w:rsid w:val="002F3F7C"/>
    <w:rsid w:val="002F4E7E"/>
    <w:rsid w:val="002F5535"/>
    <w:rsid w:val="002F6829"/>
    <w:rsid w:val="002F69EE"/>
    <w:rsid w:val="002F7565"/>
    <w:rsid w:val="002F7CAB"/>
    <w:rsid w:val="002F7CF5"/>
    <w:rsid w:val="00300438"/>
    <w:rsid w:val="00300F94"/>
    <w:rsid w:val="00302122"/>
    <w:rsid w:val="003027CA"/>
    <w:rsid w:val="00302909"/>
    <w:rsid w:val="00302A61"/>
    <w:rsid w:val="0030337D"/>
    <w:rsid w:val="00303924"/>
    <w:rsid w:val="00303A39"/>
    <w:rsid w:val="00303B4F"/>
    <w:rsid w:val="003065DD"/>
    <w:rsid w:val="00306B42"/>
    <w:rsid w:val="003074E2"/>
    <w:rsid w:val="00307F1E"/>
    <w:rsid w:val="00310ADD"/>
    <w:rsid w:val="00312D28"/>
    <w:rsid w:val="003134EA"/>
    <w:rsid w:val="00313BD6"/>
    <w:rsid w:val="00314490"/>
    <w:rsid w:val="00314865"/>
    <w:rsid w:val="0031631F"/>
    <w:rsid w:val="00316446"/>
    <w:rsid w:val="00316A29"/>
    <w:rsid w:val="0031718F"/>
    <w:rsid w:val="00317301"/>
    <w:rsid w:val="00317C5E"/>
    <w:rsid w:val="00320291"/>
    <w:rsid w:val="00320340"/>
    <w:rsid w:val="00321020"/>
    <w:rsid w:val="0032239C"/>
    <w:rsid w:val="00322665"/>
    <w:rsid w:val="0032266E"/>
    <w:rsid w:val="00322DC0"/>
    <w:rsid w:val="003230AF"/>
    <w:rsid w:val="003236A1"/>
    <w:rsid w:val="0032373C"/>
    <w:rsid w:val="003238CB"/>
    <w:rsid w:val="00323951"/>
    <w:rsid w:val="00323B26"/>
    <w:rsid w:val="003249FE"/>
    <w:rsid w:val="00324C48"/>
    <w:rsid w:val="00324D7B"/>
    <w:rsid w:val="00326418"/>
    <w:rsid w:val="00326A05"/>
    <w:rsid w:val="00330088"/>
    <w:rsid w:val="0033086D"/>
    <w:rsid w:val="00332CAC"/>
    <w:rsid w:val="0033432F"/>
    <w:rsid w:val="00334393"/>
    <w:rsid w:val="00334C85"/>
    <w:rsid w:val="00335953"/>
    <w:rsid w:val="0033621F"/>
    <w:rsid w:val="0033699F"/>
    <w:rsid w:val="003372D4"/>
    <w:rsid w:val="00337B99"/>
    <w:rsid w:val="00337E15"/>
    <w:rsid w:val="00340C82"/>
    <w:rsid w:val="00341201"/>
    <w:rsid w:val="00341B74"/>
    <w:rsid w:val="003432C2"/>
    <w:rsid w:val="0034335F"/>
    <w:rsid w:val="00343C6E"/>
    <w:rsid w:val="003443E2"/>
    <w:rsid w:val="003447C0"/>
    <w:rsid w:val="00344D9C"/>
    <w:rsid w:val="0034523B"/>
    <w:rsid w:val="00345FD4"/>
    <w:rsid w:val="003460E1"/>
    <w:rsid w:val="00346152"/>
    <w:rsid w:val="0034642B"/>
    <w:rsid w:val="0034649B"/>
    <w:rsid w:val="00347C10"/>
    <w:rsid w:val="00347D1E"/>
    <w:rsid w:val="00347DCE"/>
    <w:rsid w:val="0035015A"/>
    <w:rsid w:val="00350CC2"/>
    <w:rsid w:val="00350EFC"/>
    <w:rsid w:val="00351B27"/>
    <w:rsid w:val="0035214F"/>
    <w:rsid w:val="003525FA"/>
    <w:rsid w:val="00353A45"/>
    <w:rsid w:val="00353BB2"/>
    <w:rsid w:val="00353E95"/>
    <w:rsid w:val="0035410E"/>
    <w:rsid w:val="00354230"/>
    <w:rsid w:val="00354CF1"/>
    <w:rsid w:val="00354E79"/>
    <w:rsid w:val="00356024"/>
    <w:rsid w:val="003567FB"/>
    <w:rsid w:val="003568D4"/>
    <w:rsid w:val="00360346"/>
    <w:rsid w:val="003603F5"/>
    <w:rsid w:val="003616F6"/>
    <w:rsid w:val="00364AD8"/>
    <w:rsid w:val="003658A4"/>
    <w:rsid w:val="00365963"/>
    <w:rsid w:val="00365ED7"/>
    <w:rsid w:val="0036686B"/>
    <w:rsid w:val="00366BA0"/>
    <w:rsid w:val="00367305"/>
    <w:rsid w:val="003675EF"/>
    <w:rsid w:val="003713FE"/>
    <w:rsid w:val="003714A9"/>
    <w:rsid w:val="00371A5F"/>
    <w:rsid w:val="00371F9C"/>
    <w:rsid w:val="00373E4D"/>
    <w:rsid w:val="00373FE5"/>
    <w:rsid w:val="00375743"/>
    <w:rsid w:val="00375B94"/>
    <w:rsid w:val="00375C85"/>
    <w:rsid w:val="003768C2"/>
    <w:rsid w:val="00376D0B"/>
    <w:rsid w:val="00376D1F"/>
    <w:rsid w:val="003770F6"/>
    <w:rsid w:val="003777F3"/>
    <w:rsid w:val="0037789D"/>
    <w:rsid w:val="003804F4"/>
    <w:rsid w:val="00380B6D"/>
    <w:rsid w:val="00380D7B"/>
    <w:rsid w:val="00382ABB"/>
    <w:rsid w:val="00382ADC"/>
    <w:rsid w:val="0038328A"/>
    <w:rsid w:val="00383C09"/>
    <w:rsid w:val="00383C7F"/>
    <w:rsid w:val="003847D8"/>
    <w:rsid w:val="0038527C"/>
    <w:rsid w:val="00385752"/>
    <w:rsid w:val="003862DB"/>
    <w:rsid w:val="0038681B"/>
    <w:rsid w:val="00387AA8"/>
    <w:rsid w:val="00387BC1"/>
    <w:rsid w:val="00387EF6"/>
    <w:rsid w:val="00390FB3"/>
    <w:rsid w:val="0039202E"/>
    <w:rsid w:val="0039269B"/>
    <w:rsid w:val="003928DB"/>
    <w:rsid w:val="00393D8A"/>
    <w:rsid w:val="00396B59"/>
    <w:rsid w:val="00396C1B"/>
    <w:rsid w:val="00396F7E"/>
    <w:rsid w:val="0039714F"/>
    <w:rsid w:val="003A0800"/>
    <w:rsid w:val="003A1B42"/>
    <w:rsid w:val="003A29CB"/>
    <w:rsid w:val="003A2A78"/>
    <w:rsid w:val="003A2AF6"/>
    <w:rsid w:val="003A2B2E"/>
    <w:rsid w:val="003A3A37"/>
    <w:rsid w:val="003A755B"/>
    <w:rsid w:val="003B0075"/>
    <w:rsid w:val="003B0DB1"/>
    <w:rsid w:val="003B22BC"/>
    <w:rsid w:val="003B30A3"/>
    <w:rsid w:val="003B3F89"/>
    <w:rsid w:val="003B4B67"/>
    <w:rsid w:val="003B4F17"/>
    <w:rsid w:val="003B5341"/>
    <w:rsid w:val="003B75A3"/>
    <w:rsid w:val="003B7B0B"/>
    <w:rsid w:val="003B7EB8"/>
    <w:rsid w:val="003C0C93"/>
    <w:rsid w:val="003C1107"/>
    <w:rsid w:val="003C16CA"/>
    <w:rsid w:val="003C17FD"/>
    <w:rsid w:val="003C25F4"/>
    <w:rsid w:val="003C2EB9"/>
    <w:rsid w:val="003C3EF1"/>
    <w:rsid w:val="003C47E3"/>
    <w:rsid w:val="003C4DDD"/>
    <w:rsid w:val="003C5A27"/>
    <w:rsid w:val="003C5D14"/>
    <w:rsid w:val="003C5E6D"/>
    <w:rsid w:val="003D01B1"/>
    <w:rsid w:val="003D0A99"/>
    <w:rsid w:val="003D1A45"/>
    <w:rsid w:val="003D1D8B"/>
    <w:rsid w:val="003D2701"/>
    <w:rsid w:val="003D2FA6"/>
    <w:rsid w:val="003D32E1"/>
    <w:rsid w:val="003D3325"/>
    <w:rsid w:val="003D3663"/>
    <w:rsid w:val="003D3B5D"/>
    <w:rsid w:val="003D4581"/>
    <w:rsid w:val="003D55F1"/>
    <w:rsid w:val="003D65E4"/>
    <w:rsid w:val="003D7168"/>
    <w:rsid w:val="003D71EA"/>
    <w:rsid w:val="003D7D5C"/>
    <w:rsid w:val="003E036D"/>
    <w:rsid w:val="003E0E39"/>
    <w:rsid w:val="003E211E"/>
    <w:rsid w:val="003E280F"/>
    <w:rsid w:val="003E2D6D"/>
    <w:rsid w:val="003E30ED"/>
    <w:rsid w:val="003E382F"/>
    <w:rsid w:val="003E43CA"/>
    <w:rsid w:val="003E5031"/>
    <w:rsid w:val="003E5049"/>
    <w:rsid w:val="003E59AF"/>
    <w:rsid w:val="003E693D"/>
    <w:rsid w:val="003E69A2"/>
    <w:rsid w:val="003E7063"/>
    <w:rsid w:val="003F0A50"/>
    <w:rsid w:val="003F10C3"/>
    <w:rsid w:val="003F2938"/>
    <w:rsid w:val="003F360F"/>
    <w:rsid w:val="003F40DF"/>
    <w:rsid w:val="003F5DEC"/>
    <w:rsid w:val="003F6203"/>
    <w:rsid w:val="003F6504"/>
    <w:rsid w:val="003F78B0"/>
    <w:rsid w:val="00400CAA"/>
    <w:rsid w:val="00401781"/>
    <w:rsid w:val="00401D6F"/>
    <w:rsid w:val="004022C2"/>
    <w:rsid w:val="004023BA"/>
    <w:rsid w:val="00402FC7"/>
    <w:rsid w:val="00403E03"/>
    <w:rsid w:val="00404889"/>
    <w:rsid w:val="004048D2"/>
    <w:rsid w:val="00405B0F"/>
    <w:rsid w:val="004076F3"/>
    <w:rsid w:val="00407B62"/>
    <w:rsid w:val="00410AC5"/>
    <w:rsid w:val="00410DD2"/>
    <w:rsid w:val="00411307"/>
    <w:rsid w:val="004113F4"/>
    <w:rsid w:val="00411D96"/>
    <w:rsid w:val="0041216A"/>
    <w:rsid w:val="00412555"/>
    <w:rsid w:val="00413E26"/>
    <w:rsid w:val="00414D46"/>
    <w:rsid w:val="00414ED2"/>
    <w:rsid w:val="00415CB2"/>
    <w:rsid w:val="004164EE"/>
    <w:rsid w:val="00416AA8"/>
    <w:rsid w:val="00416E28"/>
    <w:rsid w:val="004205B1"/>
    <w:rsid w:val="0042138A"/>
    <w:rsid w:val="004220CB"/>
    <w:rsid w:val="004221C1"/>
    <w:rsid w:val="004223A0"/>
    <w:rsid w:val="004226F3"/>
    <w:rsid w:val="004227DE"/>
    <w:rsid w:val="00423BD4"/>
    <w:rsid w:val="00425F11"/>
    <w:rsid w:val="0042693B"/>
    <w:rsid w:val="00426FF8"/>
    <w:rsid w:val="00427FC0"/>
    <w:rsid w:val="0043081C"/>
    <w:rsid w:val="0043291C"/>
    <w:rsid w:val="00432924"/>
    <w:rsid w:val="00435CE4"/>
    <w:rsid w:val="00436136"/>
    <w:rsid w:val="00436787"/>
    <w:rsid w:val="004369BB"/>
    <w:rsid w:val="00436C50"/>
    <w:rsid w:val="00437D08"/>
    <w:rsid w:val="004416D5"/>
    <w:rsid w:val="00441DD1"/>
    <w:rsid w:val="00442084"/>
    <w:rsid w:val="004439DE"/>
    <w:rsid w:val="00443BF9"/>
    <w:rsid w:val="00443F84"/>
    <w:rsid w:val="00443FDC"/>
    <w:rsid w:val="00444A55"/>
    <w:rsid w:val="00444AE2"/>
    <w:rsid w:val="0044500E"/>
    <w:rsid w:val="00445F84"/>
    <w:rsid w:val="0044724C"/>
    <w:rsid w:val="00447D22"/>
    <w:rsid w:val="00450F0A"/>
    <w:rsid w:val="004515CF"/>
    <w:rsid w:val="004518DF"/>
    <w:rsid w:val="00455922"/>
    <w:rsid w:val="00456179"/>
    <w:rsid w:val="0045679F"/>
    <w:rsid w:val="00457BB1"/>
    <w:rsid w:val="004602D8"/>
    <w:rsid w:val="004605FF"/>
    <w:rsid w:val="004607F2"/>
    <w:rsid w:val="00461C97"/>
    <w:rsid w:val="00462AB1"/>
    <w:rsid w:val="00462C57"/>
    <w:rsid w:val="00463235"/>
    <w:rsid w:val="0046511C"/>
    <w:rsid w:val="004651B6"/>
    <w:rsid w:val="00466740"/>
    <w:rsid w:val="004679E7"/>
    <w:rsid w:val="00467C97"/>
    <w:rsid w:val="004729AE"/>
    <w:rsid w:val="004737A2"/>
    <w:rsid w:val="004739D7"/>
    <w:rsid w:val="0047413C"/>
    <w:rsid w:val="00474B9A"/>
    <w:rsid w:val="00475414"/>
    <w:rsid w:val="0047555C"/>
    <w:rsid w:val="004755E1"/>
    <w:rsid w:val="004760B9"/>
    <w:rsid w:val="004763B5"/>
    <w:rsid w:val="00476825"/>
    <w:rsid w:val="004769D0"/>
    <w:rsid w:val="00477BE3"/>
    <w:rsid w:val="004802EF"/>
    <w:rsid w:val="004813F8"/>
    <w:rsid w:val="004819A5"/>
    <w:rsid w:val="00482036"/>
    <w:rsid w:val="00483068"/>
    <w:rsid w:val="004838B0"/>
    <w:rsid w:val="004842BF"/>
    <w:rsid w:val="004855AA"/>
    <w:rsid w:val="00485A91"/>
    <w:rsid w:val="00485E02"/>
    <w:rsid w:val="0048618C"/>
    <w:rsid w:val="00486A69"/>
    <w:rsid w:val="0048756E"/>
    <w:rsid w:val="0049098E"/>
    <w:rsid w:val="00490AAD"/>
    <w:rsid w:val="0049257A"/>
    <w:rsid w:val="0049269A"/>
    <w:rsid w:val="00493415"/>
    <w:rsid w:val="00493C7D"/>
    <w:rsid w:val="00495709"/>
    <w:rsid w:val="00496E3D"/>
    <w:rsid w:val="00497506"/>
    <w:rsid w:val="004976BB"/>
    <w:rsid w:val="004A0124"/>
    <w:rsid w:val="004A06EC"/>
    <w:rsid w:val="004A1860"/>
    <w:rsid w:val="004A1A3E"/>
    <w:rsid w:val="004A27DB"/>
    <w:rsid w:val="004A27EA"/>
    <w:rsid w:val="004A37D6"/>
    <w:rsid w:val="004A50CB"/>
    <w:rsid w:val="004A752E"/>
    <w:rsid w:val="004A7A46"/>
    <w:rsid w:val="004A7CD6"/>
    <w:rsid w:val="004B0498"/>
    <w:rsid w:val="004B04C6"/>
    <w:rsid w:val="004B0DB2"/>
    <w:rsid w:val="004B0DD6"/>
    <w:rsid w:val="004B18C9"/>
    <w:rsid w:val="004B38AE"/>
    <w:rsid w:val="004B3CE4"/>
    <w:rsid w:val="004B3EF5"/>
    <w:rsid w:val="004B434E"/>
    <w:rsid w:val="004B534F"/>
    <w:rsid w:val="004B5364"/>
    <w:rsid w:val="004B6FC5"/>
    <w:rsid w:val="004C01B8"/>
    <w:rsid w:val="004C0660"/>
    <w:rsid w:val="004C0C07"/>
    <w:rsid w:val="004C0DE4"/>
    <w:rsid w:val="004C0F36"/>
    <w:rsid w:val="004C122B"/>
    <w:rsid w:val="004C122E"/>
    <w:rsid w:val="004C2084"/>
    <w:rsid w:val="004C2596"/>
    <w:rsid w:val="004C2A28"/>
    <w:rsid w:val="004C38D2"/>
    <w:rsid w:val="004C4A6F"/>
    <w:rsid w:val="004C53F3"/>
    <w:rsid w:val="004C56F0"/>
    <w:rsid w:val="004C5A96"/>
    <w:rsid w:val="004C5C48"/>
    <w:rsid w:val="004C67A7"/>
    <w:rsid w:val="004C6890"/>
    <w:rsid w:val="004C68EE"/>
    <w:rsid w:val="004C71E3"/>
    <w:rsid w:val="004C786B"/>
    <w:rsid w:val="004C7893"/>
    <w:rsid w:val="004C78D5"/>
    <w:rsid w:val="004D0666"/>
    <w:rsid w:val="004D093F"/>
    <w:rsid w:val="004D0E9B"/>
    <w:rsid w:val="004D1278"/>
    <w:rsid w:val="004D1B4E"/>
    <w:rsid w:val="004D2A1C"/>
    <w:rsid w:val="004D3845"/>
    <w:rsid w:val="004D5860"/>
    <w:rsid w:val="004D6340"/>
    <w:rsid w:val="004D6FD2"/>
    <w:rsid w:val="004D706F"/>
    <w:rsid w:val="004E1971"/>
    <w:rsid w:val="004E22B9"/>
    <w:rsid w:val="004E2399"/>
    <w:rsid w:val="004E26E3"/>
    <w:rsid w:val="004E4786"/>
    <w:rsid w:val="004E4CB1"/>
    <w:rsid w:val="004E6749"/>
    <w:rsid w:val="004E6933"/>
    <w:rsid w:val="004F02B9"/>
    <w:rsid w:val="004F0822"/>
    <w:rsid w:val="004F0AEA"/>
    <w:rsid w:val="004F0BFF"/>
    <w:rsid w:val="004F2410"/>
    <w:rsid w:val="004F25A8"/>
    <w:rsid w:val="004F25E7"/>
    <w:rsid w:val="004F2A82"/>
    <w:rsid w:val="004F3647"/>
    <w:rsid w:val="004F465E"/>
    <w:rsid w:val="004F52B2"/>
    <w:rsid w:val="004F5666"/>
    <w:rsid w:val="004F56ED"/>
    <w:rsid w:val="004F5A27"/>
    <w:rsid w:val="00501E1E"/>
    <w:rsid w:val="0050254B"/>
    <w:rsid w:val="0050364C"/>
    <w:rsid w:val="0050410B"/>
    <w:rsid w:val="00505750"/>
    <w:rsid w:val="005057D0"/>
    <w:rsid w:val="0050606F"/>
    <w:rsid w:val="00506CF9"/>
    <w:rsid w:val="005078B0"/>
    <w:rsid w:val="00507B71"/>
    <w:rsid w:val="00507E9E"/>
    <w:rsid w:val="0051023F"/>
    <w:rsid w:val="0051229B"/>
    <w:rsid w:val="00512CDF"/>
    <w:rsid w:val="0051303D"/>
    <w:rsid w:val="00513B2F"/>
    <w:rsid w:val="00513CC2"/>
    <w:rsid w:val="00513F0F"/>
    <w:rsid w:val="00514854"/>
    <w:rsid w:val="00514E35"/>
    <w:rsid w:val="00515D3E"/>
    <w:rsid w:val="00516C04"/>
    <w:rsid w:val="00517182"/>
    <w:rsid w:val="0051772C"/>
    <w:rsid w:val="005177FD"/>
    <w:rsid w:val="005208D8"/>
    <w:rsid w:val="0052126D"/>
    <w:rsid w:val="005219D5"/>
    <w:rsid w:val="00521F2D"/>
    <w:rsid w:val="00523094"/>
    <w:rsid w:val="00523686"/>
    <w:rsid w:val="0052542E"/>
    <w:rsid w:val="005254A2"/>
    <w:rsid w:val="00525586"/>
    <w:rsid w:val="00525EAC"/>
    <w:rsid w:val="00526022"/>
    <w:rsid w:val="00526624"/>
    <w:rsid w:val="00526879"/>
    <w:rsid w:val="00527070"/>
    <w:rsid w:val="00527729"/>
    <w:rsid w:val="00527D20"/>
    <w:rsid w:val="005303DD"/>
    <w:rsid w:val="00530D22"/>
    <w:rsid w:val="00530D36"/>
    <w:rsid w:val="0053225D"/>
    <w:rsid w:val="00532435"/>
    <w:rsid w:val="0053417C"/>
    <w:rsid w:val="005343A4"/>
    <w:rsid w:val="00534877"/>
    <w:rsid w:val="00534BBB"/>
    <w:rsid w:val="00536080"/>
    <w:rsid w:val="005362E9"/>
    <w:rsid w:val="00536A57"/>
    <w:rsid w:val="00536FBA"/>
    <w:rsid w:val="00537AE5"/>
    <w:rsid w:val="00537ECC"/>
    <w:rsid w:val="0054081D"/>
    <w:rsid w:val="005414D5"/>
    <w:rsid w:val="00541637"/>
    <w:rsid w:val="00541A8B"/>
    <w:rsid w:val="00541D8F"/>
    <w:rsid w:val="005427FC"/>
    <w:rsid w:val="005436D4"/>
    <w:rsid w:val="0054494F"/>
    <w:rsid w:val="00545558"/>
    <w:rsid w:val="00545A0C"/>
    <w:rsid w:val="00547174"/>
    <w:rsid w:val="0054786D"/>
    <w:rsid w:val="00547E34"/>
    <w:rsid w:val="00550D7E"/>
    <w:rsid w:val="00550E38"/>
    <w:rsid w:val="00550F73"/>
    <w:rsid w:val="00551560"/>
    <w:rsid w:val="00551915"/>
    <w:rsid w:val="00551AE0"/>
    <w:rsid w:val="00551DC1"/>
    <w:rsid w:val="0055246A"/>
    <w:rsid w:val="00553A27"/>
    <w:rsid w:val="0055405A"/>
    <w:rsid w:val="0055428C"/>
    <w:rsid w:val="00555282"/>
    <w:rsid w:val="005553CF"/>
    <w:rsid w:val="005564EB"/>
    <w:rsid w:val="005566D1"/>
    <w:rsid w:val="00556EA8"/>
    <w:rsid w:val="005575D3"/>
    <w:rsid w:val="00557C61"/>
    <w:rsid w:val="00557D29"/>
    <w:rsid w:val="005613DD"/>
    <w:rsid w:val="00562446"/>
    <w:rsid w:val="005629C6"/>
    <w:rsid w:val="00562EF9"/>
    <w:rsid w:val="005632C8"/>
    <w:rsid w:val="00566681"/>
    <w:rsid w:val="005676CD"/>
    <w:rsid w:val="005700E8"/>
    <w:rsid w:val="00570D61"/>
    <w:rsid w:val="00570E2C"/>
    <w:rsid w:val="005718ED"/>
    <w:rsid w:val="00571B51"/>
    <w:rsid w:val="00571B9C"/>
    <w:rsid w:val="0057251E"/>
    <w:rsid w:val="0057272C"/>
    <w:rsid w:val="00572B40"/>
    <w:rsid w:val="00573222"/>
    <w:rsid w:val="005739F4"/>
    <w:rsid w:val="005745DA"/>
    <w:rsid w:val="00575640"/>
    <w:rsid w:val="00575F56"/>
    <w:rsid w:val="00576EB0"/>
    <w:rsid w:val="00577A41"/>
    <w:rsid w:val="00577D12"/>
    <w:rsid w:val="00580FCA"/>
    <w:rsid w:val="00580FE8"/>
    <w:rsid w:val="00581434"/>
    <w:rsid w:val="0058286D"/>
    <w:rsid w:val="00582AC7"/>
    <w:rsid w:val="00582D44"/>
    <w:rsid w:val="00582EF5"/>
    <w:rsid w:val="005837E4"/>
    <w:rsid w:val="005845B9"/>
    <w:rsid w:val="005851F2"/>
    <w:rsid w:val="00585B4D"/>
    <w:rsid w:val="005865DD"/>
    <w:rsid w:val="00586BB7"/>
    <w:rsid w:val="00586C03"/>
    <w:rsid w:val="00586D2F"/>
    <w:rsid w:val="00587C1A"/>
    <w:rsid w:val="005919BA"/>
    <w:rsid w:val="005927D9"/>
    <w:rsid w:val="00592D08"/>
    <w:rsid w:val="00593479"/>
    <w:rsid w:val="00594BD2"/>
    <w:rsid w:val="0059537D"/>
    <w:rsid w:val="0059576D"/>
    <w:rsid w:val="0059578E"/>
    <w:rsid w:val="00595B25"/>
    <w:rsid w:val="0059666A"/>
    <w:rsid w:val="00596DF9"/>
    <w:rsid w:val="005A21F2"/>
    <w:rsid w:val="005A4657"/>
    <w:rsid w:val="005A48F0"/>
    <w:rsid w:val="005A546F"/>
    <w:rsid w:val="005A59B3"/>
    <w:rsid w:val="005A5F22"/>
    <w:rsid w:val="005A6613"/>
    <w:rsid w:val="005A6B39"/>
    <w:rsid w:val="005A73AE"/>
    <w:rsid w:val="005A7F33"/>
    <w:rsid w:val="005B12EB"/>
    <w:rsid w:val="005B1C37"/>
    <w:rsid w:val="005B1CAD"/>
    <w:rsid w:val="005B1E35"/>
    <w:rsid w:val="005B2349"/>
    <w:rsid w:val="005B238D"/>
    <w:rsid w:val="005B2886"/>
    <w:rsid w:val="005B463C"/>
    <w:rsid w:val="005B4C31"/>
    <w:rsid w:val="005B55BB"/>
    <w:rsid w:val="005B5BDB"/>
    <w:rsid w:val="005B6619"/>
    <w:rsid w:val="005B6CC4"/>
    <w:rsid w:val="005B6CEF"/>
    <w:rsid w:val="005B6F80"/>
    <w:rsid w:val="005B749D"/>
    <w:rsid w:val="005B7D6A"/>
    <w:rsid w:val="005C13AF"/>
    <w:rsid w:val="005C1507"/>
    <w:rsid w:val="005C1810"/>
    <w:rsid w:val="005C2222"/>
    <w:rsid w:val="005C2AF3"/>
    <w:rsid w:val="005C2BDB"/>
    <w:rsid w:val="005C6436"/>
    <w:rsid w:val="005C6A8F"/>
    <w:rsid w:val="005C6FA8"/>
    <w:rsid w:val="005C7713"/>
    <w:rsid w:val="005C7824"/>
    <w:rsid w:val="005C7EC3"/>
    <w:rsid w:val="005D0182"/>
    <w:rsid w:val="005D1903"/>
    <w:rsid w:val="005D19E8"/>
    <w:rsid w:val="005D1A33"/>
    <w:rsid w:val="005D1E32"/>
    <w:rsid w:val="005D296E"/>
    <w:rsid w:val="005D3CE6"/>
    <w:rsid w:val="005D3FD8"/>
    <w:rsid w:val="005D51A9"/>
    <w:rsid w:val="005D5789"/>
    <w:rsid w:val="005D5F63"/>
    <w:rsid w:val="005D62A0"/>
    <w:rsid w:val="005D6973"/>
    <w:rsid w:val="005D6C29"/>
    <w:rsid w:val="005D6C52"/>
    <w:rsid w:val="005D6CEB"/>
    <w:rsid w:val="005D6EF8"/>
    <w:rsid w:val="005D74FC"/>
    <w:rsid w:val="005D78CF"/>
    <w:rsid w:val="005D7D56"/>
    <w:rsid w:val="005D7DBA"/>
    <w:rsid w:val="005D7E9F"/>
    <w:rsid w:val="005E05FB"/>
    <w:rsid w:val="005E175A"/>
    <w:rsid w:val="005E21CD"/>
    <w:rsid w:val="005E2442"/>
    <w:rsid w:val="005E34C3"/>
    <w:rsid w:val="005E3CE2"/>
    <w:rsid w:val="005E40E5"/>
    <w:rsid w:val="005E66B0"/>
    <w:rsid w:val="005E6B19"/>
    <w:rsid w:val="005E7339"/>
    <w:rsid w:val="005E7452"/>
    <w:rsid w:val="005E7E20"/>
    <w:rsid w:val="005F1849"/>
    <w:rsid w:val="005F19C3"/>
    <w:rsid w:val="005F2BCB"/>
    <w:rsid w:val="005F461C"/>
    <w:rsid w:val="005F4936"/>
    <w:rsid w:val="005F4B95"/>
    <w:rsid w:val="005F6491"/>
    <w:rsid w:val="005F70EF"/>
    <w:rsid w:val="0060123E"/>
    <w:rsid w:val="006020F7"/>
    <w:rsid w:val="006022D4"/>
    <w:rsid w:val="00602BB6"/>
    <w:rsid w:val="00603915"/>
    <w:rsid w:val="006039A1"/>
    <w:rsid w:val="006042CA"/>
    <w:rsid w:val="00605F32"/>
    <w:rsid w:val="00606039"/>
    <w:rsid w:val="006070CF"/>
    <w:rsid w:val="006072DD"/>
    <w:rsid w:val="00607D88"/>
    <w:rsid w:val="0061026C"/>
    <w:rsid w:val="00610316"/>
    <w:rsid w:val="00610BA6"/>
    <w:rsid w:val="00610D9B"/>
    <w:rsid w:val="00610E7E"/>
    <w:rsid w:val="00611FAC"/>
    <w:rsid w:val="00613EC4"/>
    <w:rsid w:val="00614383"/>
    <w:rsid w:val="006147D9"/>
    <w:rsid w:val="00614B0F"/>
    <w:rsid w:val="00614BEC"/>
    <w:rsid w:val="00614CA6"/>
    <w:rsid w:val="00615D9B"/>
    <w:rsid w:val="00615E21"/>
    <w:rsid w:val="006162DB"/>
    <w:rsid w:val="006168C4"/>
    <w:rsid w:val="0061778D"/>
    <w:rsid w:val="00620324"/>
    <w:rsid w:val="00620A08"/>
    <w:rsid w:val="00620F2D"/>
    <w:rsid w:val="00621E25"/>
    <w:rsid w:val="006227D4"/>
    <w:rsid w:val="00622943"/>
    <w:rsid w:val="00623933"/>
    <w:rsid w:val="006240EB"/>
    <w:rsid w:val="006264CB"/>
    <w:rsid w:val="006269C2"/>
    <w:rsid w:val="0062775D"/>
    <w:rsid w:val="00627B81"/>
    <w:rsid w:val="00630583"/>
    <w:rsid w:val="006305BB"/>
    <w:rsid w:val="00630BF0"/>
    <w:rsid w:val="00631182"/>
    <w:rsid w:val="006312E9"/>
    <w:rsid w:val="006317E5"/>
    <w:rsid w:val="00632A8A"/>
    <w:rsid w:val="0063320B"/>
    <w:rsid w:val="00633D4D"/>
    <w:rsid w:val="006342BB"/>
    <w:rsid w:val="0063478C"/>
    <w:rsid w:val="00634A3F"/>
    <w:rsid w:val="00634B9C"/>
    <w:rsid w:val="00635D8B"/>
    <w:rsid w:val="006363EE"/>
    <w:rsid w:val="0063713F"/>
    <w:rsid w:val="006374B7"/>
    <w:rsid w:val="006374D5"/>
    <w:rsid w:val="00637594"/>
    <w:rsid w:val="00641013"/>
    <w:rsid w:val="00641068"/>
    <w:rsid w:val="00642A18"/>
    <w:rsid w:val="00642D19"/>
    <w:rsid w:val="00643664"/>
    <w:rsid w:val="006439BD"/>
    <w:rsid w:val="0064502D"/>
    <w:rsid w:val="006460FA"/>
    <w:rsid w:val="00646490"/>
    <w:rsid w:val="00646BFA"/>
    <w:rsid w:val="00646EE7"/>
    <w:rsid w:val="00647607"/>
    <w:rsid w:val="006477FE"/>
    <w:rsid w:val="006478FF"/>
    <w:rsid w:val="00647C6C"/>
    <w:rsid w:val="0065024A"/>
    <w:rsid w:val="006512D3"/>
    <w:rsid w:val="00651627"/>
    <w:rsid w:val="0065230A"/>
    <w:rsid w:val="00652C4F"/>
    <w:rsid w:val="00654B03"/>
    <w:rsid w:val="00656475"/>
    <w:rsid w:val="006568D4"/>
    <w:rsid w:val="00656CA0"/>
    <w:rsid w:val="0065715F"/>
    <w:rsid w:val="00660B20"/>
    <w:rsid w:val="00662267"/>
    <w:rsid w:val="00662298"/>
    <w:rsid w:val="0066320B"/>
    <w:rsid w:val="00664BF0"/>
    <w:rsid w:val="00665142"/>
    <w:rsid w:val="00665229"/>
    <w:rsid w:val="00665C70"/>
    <w:rsid w:val="006661A3"/>
    <w:rsid w:val="006665F7"/>
    <w:rsid w:val="00667475"/>
    <w:rsid w:val="00667505"/>
    <w:rsid w:val="006706F5"/>
    <w:rsid w:val="00670724"/>
    <w:rsid w:val="00672A10"/>
    <w:rsid w:val="00673935"/>
    <w:rsid w:val="00673D95"/>
    <w:rsid w:val="00673DE1"/>
    <w:rsid w:val="00673FF3"/>
    <w:rsid w:val="00674733"/>
    <w:rsid w:val="00674864"/>
    <w:rsid w:val="00674888"/>
    <w:rsid w:val="00674A97"/>
    <w:rsid w:val="006753F0"/>
    <w:rsid w:val="00675A2D"/>
    <w:rsid w:val="00675BAC"/>
    <w:rsid w:val="00676001"/>
    <w:rsid w:val="006763D3"/>
    <w:rsid w:val="0068015D"/>
    <w:rsid w:val="006801F9"/>
    <w:rsid w:val="006807F9"/>
    <w:rsid w:val="00680AF6"/>
    <w:rsid w:val="00681698"/>
    <w:rsid w:val="00681B3A"/>
    <w:rsid w:val="006820D0"/>
    <w:rsid w:val="00682B3F"/>
    <w:rsid w:val="00683205"/>
    <w:rsid w:val="006833AC"/>
    <w:rsid w:val="00684732"/>
    <w:rsid w:val="00684B75"/>
    <w:rsid w:val="006859EE"/>
    <w:rsid w:val="00686A17"/>
    <w:rsid w:val="00686BDF"/>
    <w:rsid w:val="0068722C"/>
    <w:rsid w:val="00690235"/>
    <w:rsid w:val="00690438"/>
    <w:rsid w:val="006908F7"/>
    <w:rsid w:val="0069285C"/>
    <w:rsid w:val="00693175"/>
    <w:rsid w:val="00693728"/>
    <w:rsid w:val="006957C5"/>
    <w:rsid w:val="00695874"/>
    <w:rsid w:val="00695A79"/>
    <w:rsid w:val="00695ECB"/>
    <w:rsid w:val="00696503"/>
    <w:rsid w:val="00696B62"/>
    <w:rsid w:val="006A1CFE"/>
    <w:rsid w:val="006A1F53"/>
    <w:rsid w:val="006A1FF1"/>
    <w:rsid w:val="006A242A"/>
    <w:rsid w:val="006A25EA"/>
    <w:rsid w:val="006A2BA0"/>
    <w:rsid w:val="006A2E49"/>
    <w:rsid w:val="006A3457"/>
    <w:rsid w:val="006A6B18"/>
    <w:rsid w:val="006A7004"/>
    <w:rsid w:val="006A75BB"/>
    <w:rsid w:val="006A78C6"/>
    <w:rsid w:val="006A7D03"/>
    <w:rsid w:val="006B0611"/>
    <w:rsid w:val="006B12FE"/>
    <w:rsid w:val="006B1CFC"/>
    <w:rsid w:val="006B1F14"/>
    <w:rsid w:val="006B207C"/>
    <w:rsid w:val="006B2FFD"/>
    <w:rsid w:val="006B3B18"/>
    <w:rsid w:val="006B4393"/>
    <w:rsid w:val="006B4433"/>
    <w:rsid w:val="006B4C08"/>
    <w:rsid w:val="006B4C91"/>
    <w:rsid w:val="006B4DD4"/>
    <w:rsid w:val="006B594E"/>
    <w:rsid w:val="006B5EC0"/>
    <w:rsid w:val="006B60A1"/>
    <w:rsid w:val="006B68E9"/>
    <w:rsid w:val="006B696D"/>
    <w:rsid w:val="006B6E2B"/>
    <w:rsid w:val="006B6FF2"/>
    <w:rsid w:val="006B783C"/>
    <w:rsid w:val="006B783E"/>
    <w:rsid w:val="006C1D28"/>
    <w:rsid w:val="006C2BDF"/>
    <w:rsid w:val="006C2CCC"/>
    <w:rsid w:val="006C3BA3"/>
    <w:rsid w:val="006C7916"/>
    <w:rsid w:val="006D16F1"/>
    <w:rsid w:val="006D25D4"/>
    <w:rsid w:val="006D2C6F"/>
    <w:rsid w:val="006D310F"/>
    <w:rsid w:val="006D3127"/>
    <w:rsid w:val="006D33FA"/>
    <w:rsid w:val="006D3D8D"/>
    <w:rsid w:val="006D4005"/>
    <w:rsid w:val="006D4703"/>
    <w:rsid w:val="006D4840"/>
    <w:rsid w:val="006D494D"/>
    <w:rsid w:val="006D4BC0"/>
    <w:rsid w:val="006D4CCB"/>
    <w:rsid w:val="006D50CD"/>
    <w:rsid w:val="006D54EE"/>
    <w:rsid w:val="006D5CC9"/>
    <w:rsid w:val="006D6336"/>
    <w:rsid w:val="006D6C36"/>
    <w:rsid w:val="006D7F74"/>
    <w:rsid w:val="006D7FB6"/>
    <w:rsid w:val="006E15A5"/>
    <w:rsid w:val="006E17CC"/>
    <w:rsid w:val="006E2B77"/>
    <w:rsid w:val="006E37D9"/>
    <w:rsid w:val="006E41A7"/>
    <w:rsid w:val="006E51ED"/>
    <w:rsid w:val="006E64B7"/>
    <w:rsid w:val="006E7F1A"/>
    <w:rsid w:val="006F0A62"/>
    <w:rsid w:val="006F0C5E"/>
    <w:rsid w:val="006F1A50"/>
    <w:rsid w:val="006F289D"/>
    <w:rsid w:val="006F3B6B"/>
    <w:rsid w:val="006F6031"/>
    <w:rsid w:val="006F630D"/>
    <w:rsid w:val="006F66C6"/>
    <w:rsid w:val="006F6B02"/>
    <w:rsid w:val="006F7040"/>
    <w:rsid w:val="007006EF"/>
    <w:rsid w:val="00701247"/>
    <w:rsid w:val="0070154F"/>
    <w:rsid w:val="00701554"/>
    <w:rsid w:val="0070171C"/>
    <w:rsid w:val="00701E38"/>
    <w:rsid w:val="007022E5"/>
    <w:rsid w:val="00702E75"/>
    <w:rsid w:val="007047BA"/>
    <w:rsid w:val="007054D5"/>
    <w:rsid w:val="007106AD"/>
    <w:rsid w:val="0071162D"/>
    <w:rsid w:val="007116F5"/>
    <w:rsid w:val="00713579"/>
    <w:rsid w:val="0071520E"/>
    <w:rsid w:val="0071614F"/>
    <w:rsid w:val="00716FE4"/>
    <w:rsid w:val="00717145"/>
    <w:rsid w:val="00717719"/>
    <w:rsid w:val="00721570"/>
    <w:rsid w:val="0072192F"/>
    <w:rsid w:val="00722330"/>
    <w:rsid w:val="007226AF"/>
    <w:rsid w:val="007232A4"/>
    <w:rsid w:val="007246B0"/>
    <w:rsid w:val="00724E11"/>
    <w:rsid w:val="007254A7"/>
    <w:rsid w:val="00730305"/>
    <w:rsid w:val="00730315"/>
    <w:rsid w:val="007304F5"/>
    <w:rsid w:val="007306D1"/>
    <w:rsid w:val="00730B1B"/>
    <w:rsid w:val="0073104E"/>
    <w:rsid w:val="00732DEA"/>
    <w:rsid w:val="0073417B"/>
    <w:rsid w:val="00734AE7"/>
    <w:rsid w:val="00735174"/>
    <w:rsid w:val="00736767"/>
    <w:rsid w:val="0073693C"/>
    <w:rsid w:val="00736B60"/>
    <w:rsid w:val="00737019"/>
    <w:rsid w:val="0073763A"/>
    <w:rsid w:val="0074136A"/>
    <w:rsid w:val="00741AC4"/>
    <w:rsid w:val="00741CEB"/>
    <w:rsid w:val="00742CE9"/>
    <w:rsid w:val="0074366E"/>
    <w:rsid w:val="00744F75"/>
    <w:rsid w:val="007456C0"/>
    <w:rsid w:val="00746217"/>
    <w:rsid w:val="0074681B"/>
    <w:rsid w:val="00746D3C"/>
    <w:rsid w:val="00746E6D"/>
    <w:rsid w:val="007473F4"/>
    <w:rsid w:val="00750099"/>
    <w:rsid w:val="00750696"/>
    <w:rsid w:val="00750C2A"/>
    <w:rsid w:val="00751003"/>
    <w:rsid w:val="00751070"/>
    <w:rsid w:val="00752FFC"/>
    <w:rsid w:val="0075319F"/>
    <w:rsid w:val="00753249"/>
    <w:rsid w:val="007539E6"/>
    <w:rsid w:val="00753C28"/>
    <w:rsid w:val="00755073"/>
    <w:rsid w:val="00756964"/>
    <w:rsid w:val="0075709A"/>
    <w:rsid w:val="00760214"/>
    <w:rsid w:val="00760653"/>
    <w:rsid w:val="00760D23"/>
    <w:rsid w:val="007612B0"/>
    <w:rsid w:val="00761BA4"/>
    <w:rsid w:val="00762273"/>
    <w:rsid w:val="00762A00"/>
    <w:rsid w:val="00764F17"/>
    <w:rsid w:val="00765B1B"/>
    <w:rsid w:val="00765B2E"/>
    <w:rsid w:val="00765F40"/>
    <w:rsid w:val="00765F98"/>
    <w:rsid w:val="007660BD"/>
    <w:rsid w:val="0076641B"/>
    <w:rsid w:val="00766EF8"/>
    <w:rsid w:val="00770C54"/>
    <w:rsid w:val="00770E33"/>
    <w:rsid w:val="00770E6E"/>
    <w:rsid w:val="0077211A"/>
    <w:rsid w:val="007725BA"/>
    <w:rsid w:val="00773FE4"/>
    <w:rsid w:val="007741BE"/>
    <w:rsid w:val="00774D57"/>
    <w:rsid w:val="0077639A"/>
    <w:rsid w:val="00776474"/>
    <w:rsid w:val="0077704F"/>
    <w:rsid w:val="007772C3"/>
    <w:rsid w:val="00780C89"/>
    <w:rsid w:val="00780DAB"/>
    <w:rsid w:val="007815A3"/>
    <w:rsid w:val="00781ABF"/>
    <w:rsid w:val="00781D4C"/>
    <w:rsid w:val="00781F20"/>
    <w:rsid w:val="00782405"/>
    <w:rsid w:val="00782E9D"/>
    <w:rsid w:val="007830E9"/>
    <w:rsid w:val="0078345C"/>
    <w:rsid w:val="0078476B"/>
    <w:rsid w:val="0078494D"/>
    <w:rsid w:val="0078538C"/>
    <w:rsid w:val="00785B5D"/>
    <w:rsid w:val="00785D1C"/>
    <w:rsid w:val="007865E0"/>
    <w:rsid w:val="007876A1"/>
    <w:rsid w:val="007908C5"/>
    <w:rsid w:val="00791421"/>
    <w:rsid w:val="00792644"/>
    <w:rsid w:val="00793AAA"/>
    <w:rsid w:val="00794060"/>
    <w:rsid w:val="00794378"/>
    <w:rsid w:val="007953AC"/>
    <w:rsid w:val="00795698"/>
    <w:rsid w:val="0079608D"/>
    <w:rsid w:val="007960E7"/>
    <w:rsid w:val="00796A0D"/>
    <w:rsid w:val="007970EC"/>
    <w:rsid w:val="00797D2F"/>
    <w:rsid w:val="007A1406"/>
    <w:rsid w:val="007A3932"/>
    <w:rsid w:val="007A3CCA"/>
    <w:rsid w:val="007A3E26"/>
    <w:rsid w:val="007A4B5F"/>
    <w:rsid w:val="007A64F5"/>
    <w:rsid w:val="007A72CB"/>
    <w:rsid w:val="007A7779"/>
    <w:rsid w:val="007A7C5C"/>
    <w:rsid w:val="007A7F84"/>
    <w:rsid w:val="007B023B"/>
    <w:rsid w:val="007B0A07"/>
    <w:rsid w:val="007B0F99"/>
    <w:rsid w:val="007B2182"/>
    <w:rsid w:val="007B24BC"/>
    <w:rsid w:val="007B2825"/>
    <w:rsid w:val="007B299B"/>
    <w:rsid w:val="007B2CDA"/>
    <w:rsid w:val="007B31A0"/>
    <w:rsid w:val="007B3DF2"/>
    <w:rsid w:val="007B3E02"/>
    <w:rsid w:val="007B41D1"/>
    <w:rsid w:val="007B4BC9"/>
    <w:rsid w:val="007B67BC"/>
    <w:rsid w:val="007B75C9"/>
    <w:rsid w:val="007C0142"/>
    <w:rsid w:val="007C0448"/>
    <w:rsid w:val="007C0541"/>
    <w:rsid w:val="007C1585"/>
    <w:rsid w:val="007C1757"/>
    <w:rsid w:val="007C1962"/>
    <w:rsid w:val="007C2DC0"/>
    <w:rsid w:val="007C34D1"/>
    <w:rsid w:val="007C5949"/>
    <w:rsid w:val="007C5F58"/>
    <w:rsid w:val="007C6517"/>
    <w:rsid w:val="007C6EF8"/>
    <w:rsid w:val="007D0E6D"/>
    <w:rsid w:val="007D1538"/>
    <w:rsid w:val="007D16CC"/>
    <w:rsid w:val="007D1911"/>
    <w:rsid w:val="007D27DC"/>
    <w:rsid w:val="007D2911"/>
    <w:rsid w:val="007D3019"/>
    <w:rsid w:val="007D3697"/>
    <w:rsid w:val="007D41E5"/>
    <w:rsid w:val="007D4971"/>
    <w:rsid w:val="007D5529"/>
    <w:rsid w:val="007D603F"/>
    <w:rsid w:val="007E0B83"/>
    <w:rsid w:val="007E1F4D"/>
    <w:rsid w:val="007E391C"/>
    <w:rsid w:val="007E3D48"/>
    <w:rsid w:val="007E4441"/>
    <w:rsid w:val="007E469E"/>
    <w:rsid w:val="007E4A0D"/>
    <w:rsid w:val="007E51CE"/>
    <w:rsid w:val="007E535E"/>
    <w:rsid w:val="007E5A76"/>
    <w:rsid w:val="007E5EBD"/>
    <w:rsid w:val="007E731D"/>
    <w:rsid w:val="007F0338"/>
    <w:rsid w:val="007F058D"/>
    <w:rsid w:val="007F06EC"/>
    <w:rsid w:val="007F147C"/>
    <w:rsid w:val="007F15FF"/>
    <w:rsid w:val="007F1F74"/>
    <w:rsid w:val="007F222E"/>
    <w:rsid w:val="007F307B"/>
    <w:rsid w:val="007F4277"/>
    <w:rsid w:val="007F44C0"/>
    <w:rsid w:val="007F46DE"/>
    <w:rsid w:val="007F51B2"/>
    <w:rsid w:val="007F548B"/>
    <w:rsid w:val="007F5CF5"/>
    <w:rsid w:val="007F5E7A"/>
    <w:rsid w:val="007F6786"/>
    <w:rsid w:val="008007A2"/>
    <w:rsid w:val="008009D3"/>
    <w:rsid w:val="008019E2"/>
    <w:rsid w:val="00801A6E"/>
    <w:rsid w:val="0080366B"/>
    <w:rsid w:val="008043BF"/>
    <w:rsid w:val="0080447C"/>
    <w:rsid w:val="00805135"/>
    <w:rsid w:val="00805563"/>
    <w:rsid w:val="0080589F"/>
    <w:rsid w:val="00805BC0"/>
    <w:rsid w:val="00805FC1"/>
    <w:rsid w:val="00806812"/>
    <w:rsid w:val="00806855"/>
    <w:rsid w:val="008074A2"/>
    <w:rsid w:val="00810D0B"/>
    <w:rsid w:val="008112E3"/>
    <w:rsid w:val="008114F6"/>
    <w:rsid w:val="00811D44"/>
    <w:rsid w:val="008137C5"/>
    <w:rsid w:val="00813DF1"/>
    <w:rsid w:val="0081561B"/>
    <w:rsid w:val="0081561C"/>
    <w:rsid w:val="00815D6B"/>
    <w:rsid w:val="00815E09"/>
    <w:rsid w:val="00816157"/>
    <w:rsid w:val="00816683"/>
    <w:rsid w:val="00820203"/>
    <w:rsid w:val="008223C3"/>
    <w:rsid w:val="00823242"/>
    <w:rsid w:val="00823CBE"/>
    <w:rsid w:val="0082462B"/>
    <w:rsid w:val="00824C12"/>
    <w:rsid w:val="0082508B"/>
    <w:rsid w:val="00825168"/>
    <w:rsid w:val="00827116"/>
    <w:rsid w:val="008274E2"/>
    <w:rsid w:val="00827633"/>
    <w:rsid w:val="008277CA"/>
    <w:rsid w:val="00827E5E"/>
    <w:rsid w:val="00827F1D"/>
    <w:rsid w:val="00831302"/>
    <w:rsid w:val="008345B6"/>
    <w:rsid w:val="008345E9"/>
    <w:rsid w:val="00834754"/>
    <w:rsid w:val="008349AA"/>
    <w:rsid w:val="00834C62"/>
    <w:rsid w:val="008353BB"/>
    <w:rsid w:val="00835984"/>
    <w:rsid w:val="0083627E"/>
    <w:rsid w:val="00836B93"/>
    <w:rsid w:val="00837AE2"/>
    <w:rsid w:val="00837E49"/>
    <w:rsid w:val="00837F61"/>
    <w:rsid w:val="00840D00"/>
    <w:rsid w:val="00840F07"/>
    <w:rsid w:val="008414C9"/>
    <w:rsid w:val="00842C9A"/>
    <w:rsid w:val="00842E02"/>
    <w:rsid w:val="008444AD"/>
    <w:rsid w:val="00845580"/>
    <w:rsid w:val="00846106"/>
    <w:rsid w:val="00846271"/>
    <w:rsid w:val="008466E5"/>
    <w:rsid w:val="0084748C"/>
    <w:rsid w:val="00847B6D"/>
    <w:rsid w:val="00852CF0"/>
    <w:rsid w:val="00853058"/>
    <w:rsid w:val="008530AB"/>
    <w:rsid w:val="008545F8"/>
    <w:rsid w:val="008551D0"/>
    <w:rsid w:val="008553E2"/>
    <w:rsid w:val="00855580"/>
    <w:rsid w:val="00855F3F"/>
    <w:rsid w:val="0085660E"/>
    <w:rsid w:val="00856D57"/>
    <w:rsid w:val="00857B6B"/>
    <w:rsid w:val="00857B97"/>
    <w:rsid w:val="00860343"/>
    <w:rsid w:val="0086091D"/>
    <w:rsid w:val="00860AA6"/>
    <w:rsid w:val="0086158C"/>
    <w:rsid w:val="00861DA7"/>
    <w:rsid w:val="008627D2"/>
    <w:rsid w:val="00862C53"/>
    <w:rsid w:val="00862CAB"/>
    <w:rsid w:val="00863281"/>
    <w:rsid w:val="00865F10"/>
    <w:rsid w:val="00866A83"/>
    <w:rsid w:val="0086723E"/>
    <w:rsid w:val="0087040B"/>
    <w:rsid w:val="00870440"/>
    <w:rsid w:val="0087064C"/>
    <w:rsid w:val="008708AA"/>
    <w:rsid w:val="0087134F"/>
    <w:rsid w:val="00871D0A"/>
    <w:rsid w:val="00872ACB"/>
    <w:rsid w:val="008733E5"/>
    <w:rsid w:val="0087603E"/>
    <w:rsid w:val="008760E3"/>
    <w:rsid w:val="008776B5"/>
    <w:rsid w:val="0087798B"/>
    <w:rsid w:val="008822BE"/>
    <w:rsid w:val="00884214"/>
    <w:rsid w:val="00884FF7"/>
    <w:rsid w:val="00885CB5"/>
    <w:rsid w:val="00886ADE"/>
    <w:rsid w:val="0088741B"/>
    <w:rsid w:val="008903D9"/>
    <w:rsid w:val="00890704"/>
    <w:rsid w:val="008912F3"/>
    <w:rsid w:val="00891B25"/>
    <w:rsid w:val="0089263D"/>
    <w:rsid w:val="00892CB7"/>
    <w:rsid w:val="0089380A"/>
    <w:rsid w:val="00893888"/>
    <w:rsid w:val="00895C98"/>
    <w:rsid w:val="008A03F2"/>
    <w:rsid w:val="008A057A"/>
    <w:rsid w:val="008A19C7"/>
    <w:rsid w:val="008A213A"/>
    <w:rsid w:val="008A3631"/>
    <w:rsid w:val="008A49F8"/>
    <w:rsid w:val="008A4FED"/>
    <w:rsid w:val="008A7B3A"/>
    <w:rsid w:val="008A7EA8"/>
    <w:rsid w:val="008B0AA2"/>
    <w:rsid w:val="008B0E60"/>
    <w:rsid w:val="008B12D2"/>
    <w:rsid w:val="008B248A"/>
    <w:rsid w:val="008B3D83"/>
    <w:rsid w:val="008B402F"/>
    <w:rsid w:val="008B40CC"/>
    <w:rsid w:val="008B436D"/>
    <w:rsid w:val="008B4501"/>
    <w:rsid w:val="008B49B4"/>
    <w:rsid w:val="008B5161"/>
    <w:rsid w:val="008B667F"/>
    <w:rsid w:val="008B69DF"/>
    <w:rsid w:val="008B6D79"/>
    <w:rsid w:val="008B7253"/>
    <w:rsid w:val="008B7915"/>
    <w:rsid w:val="008B7963"/>
    <w:rsid w:val="008C0D93"/>
    <w:rsid w:val="008C12BD"/>
    <w:rsid w:val="008C3768"/>
    <w:rsid w:val="008C5406"/>
    <w:rsid w:val="008C5572"/>
    <w:rsid w:val="008C57C4"/>
    <w:rsid w:val="008C5E03"/>
    <w:rsid w:val="008C5F58"/>
    <w:rsid w:val="008C63FA"/>
    <w:rsid w:val="008C69DB"/>
    <w:rsid w:val="008C6CF8"/>
    <w:rsid w:val="008C7C03"/>
    <w:rsid w:val="008D0155"/>
    <w:rsid w:val="008D0E42"/>
    <w:rsid w:val="008D1FCD"/>
    <w:rsid w:val="008D20B3"/>
    <w:rsid w:val="008D2460"/>
    <w:rsid w:val="008D262D"/>
    <w:rsid w:val="008D2822"/>
    <w:rsid w:val="008D288C"/>
    <w:rsid w:val="008D29C7"/>
    <w:rsid w:val="008D2D58"/>
    <w:rsid w:val="008D34CC"/>
    <w:rsid w:val="008D3B19"/>
    <w:rsid w:val="008D40DF"/>
    <w:rsid w:val="008D4F52"/>
    <w:rsid w:val="008D4FDB"/>
    <w:rsid w:val="008D6DD8"/>
    <w:rsid w:val="008D76CD"/>
    <w:rsid w:val="008D78D9"/>
    <w:rsid w:val="008D7B0B"/>
    <w:rsid w:val="008D7EB7"/>
    <w:rsid w:val="008E0694"/>
    <w:rsid w:val="008E09A0"/>
    <w:rsid w:val="008E319E"/>
    <w:rsid w:val="008E3500"/>
    <w:rsid w:val="008E3D61"/>
    <w:rsid w:val="008E4F13"/>
    <w:rsid w:val="008E5403"/>
    <w:rsid w:val="008E6CA5"/>
    <w:rsid w:val="008E760D"/>
    <w:rsid w:val="008E7A69"/>
    <w:rsid w:val="008E7F22"/>
    <w:rsid w:val="008F093B"/>
    <w:rsid w:val="008F199E"/>
    <w:rsid w:val="008F2204"/>
    <w:rsid w:val="008F26A1"/>
    <w:rsid w:val="008F4A13"/>
    <w:rsid w:val="008F4BF9"/>
    <w:rsid w:val="008F5B92"/>
    <w:rsid w:val="008F6241"/>
    <w:rsid w:val="008F68B5"/>
    <w:rsid w:val="008F7031"/>
    <w:rsid w:val="00900225"/>
    <w:rsid w:val="009013F7"/>
    <w:rsid w:val="0090143B"/>
    <w:rsid w:val="0090198E"/>
    <w:rsid w:val="00902DAD"/>
    <w:rsid w:val="0090332B"/>
    <w:rsid w:val="009033DE"/>
    <w:rsid w:val="0090392A"/>
    <w:rsid w:val="009048F6"/>
    <w:rsid w:val="00906420"/>
    <w:rsid w:val="00906A9A"/>
    <w:rsid w:val="00907606"/>
    <w:rsid w:val="00907E27"/>
    <w:rsid w:val="00907F9E"/>
    <w:rsid w:val="00910CC2"/>
    <w:rsid w:val="009110DD"/>
    <w:rsid w:val="00911649"/>
    <w:rsid w:val="00911CB4"/>
    <w:rsid w:val="00911DA8"/>
    <w:rsid w:val="009124DC"/>
    <w:rsid w:val="00913606"/>
    <w:rsid w:val="009137CA"/>
    <w:rsid w:val="00914715"/>
    <w:rsid w:val="00914790"/>
    <w:rsid w:val="00914C98"/>
    <w:rsid w:val="00915398"/>
    <w:rsid w:val="00915DFB"/>
    <w:rsid w:val="00915F19"/>
    <w:rsid w:val="00916510"/>
    <w:rsid w:val="00917544"/>
    <w:rsid w:val="00917859"/>
    <w:rsid w:val="00917EF6"/>
    <w:rsid w:val="009200A6"/>
    <w:rsid w:val="00920677"/>
    <w:rsid w:val="009206DC"/>
    <w:rsid w:val="00921355"/>
    <w:rsid w:val="0092323C"/>
    <w:rsid w:val="009235B3"/>
    <w:rsid w:val="009246FB"/>
    <w:rsid w:val="009251B7"/>
    <w:rsid w:val="00926ABC"/>
    <w:rsid w:val="009278AA"/>
    <w:rsid w:val="00927F8F"/>
    <w:rsid w:val="00931192"/>
    <w:rsid w:val="00931C2C"/>
    <w:rsid w:val="00932CEE"/>
    <w:rsid w:val="0093450F"/>
    <w:rsid w:val="00934676"/>
    <w:rsid w:val="00935DFC"/>
    <w:rsid w:val="00936411"/>
    <w:rsid w:val="009365DD"/>
    <w:rsid w:val="009367B2"/>
    <w:rsid w:val="009367BD"/>
    <w:rsid w:val="009367E6"/>
    <w:rsid w:val="00936A28"/>
    <w:rsid w:val="00936F11"/>
    <w:rsid w:val="00936F3A"/>
    <w:rsid w:val="0093782B"/>
    <w:rsid w:val="00937849"/>
    <w:rsid w:val="00937D81"/>
    <w:rsid w:val="00937FD8"/>
    <w:rsid w:val="0094046D"/>
    <w:rsid w:val="009406C2"/>
    <w:rsid w:val="00941457"/>
    <w:rsid w:val="00941561"/>
    <w:rsid w:val="00941F12"/>
    <w:rsid w:val="00942901"/>
    <w:rsid w:val="00942B09"/>
    <w:rsid w:val="0094399F"/>
    <w:rsid w:val="00943E3A"/>
    <w:rsid w:val="009455EF"/>
    <w:rsid w:val="009458FB"/>
    <w:rsid w:val="00945B6C"/>
    <w:rsid w:val="009461C1"/>
    <w:rsid w:val="00947394"/>
    <w:rsid w:val="0094743F"/>
    <w:rsid w:val="009478B9"/>
    <w:rsid w:val="009479FD"/>
    <w:rsid w:val="00950067"/>
    <w:rsid w:val="009505C2"/>
    <w:rsid w:val="009510EC"/>
    <w:rsid w:val="009515D1"/>
    <w:rsid w:val="009518EC"/>
    <w:rsid w:val="00952661"/>
    <w:rsid w:val="0095312E"/>
    <w:rsid w:val="009536C0"/>
    <w:rsid w:val="009538CE"/>
    <w:rsid w:val="00953F97"/>
    <w:rsid w:val="0095432D"/>
    <w:rsid w:val="009547B0"/>
    <w:rsid w:val="00954F1D"/>
    <w:rsid w:val="009552D1"/>
    <w:rsid w:val="00955625"/>
    <w:rsid w:val="00955728"/>
    <w:rsid w:val="00956126"/>
    <w:rsid w:val="00956FD6"/>
    <w:rsid w:val="00960639"/>
    <w:rsid w:val="00960F41"/>
    <w:rsid w:val="00961431"/>
    <w:rsid w:val="00961863"/>
    <w:rsid w:val="0096199C"/>
    <w:rsid w:val="0096218E"/>
    <w:rsid w:val="00962656"/>
    <w:rsid w:val="00963DDF"/>
    <w:rsid w:val="00964B31"/>
    <w:rsid w:val="00965048"/>
    <w:rsid w:val="00965405"/>
    <w:rsid w:val="00965662"/>
    <w:rsid w:val="00965A80"/>
    <w:rsid w:val="00966848"/>
    <w:rsid w:val="00966B61"/>
    <w:rsid w:val="00967D35"/>
    <w:rsid w:val="00970F29"/>
    <w:rsid w:val="009711F7"/>
    <w:rsid w:val="0097240C"/>
    <w:rsid w:val="0097261B"/>
    <w:rsid w:val="009730FD"/>
    <w:rsid w:val="0097396B"/>
    <w:rsid w:val="00973986"/>
    <w:rsid w:val="00973F90"/>
    <w:rsid w:val="00974404"/>
    <w:rsid w:val="0097444D"/>
    <w:rsid w:val="00974887"/>
    <w:rsid w:val="00974A01"/>
    <w:rsid w:val="00974D9F"/>
    <w:rsid w:val="00974F88"/>
    <w:rsid w:val="00976CEF"/>
    <w:rsid w:val="009779C6"/>
    <w:rsid w:val="00977CD3"/>
    <w:rsid w:val="0098120C"/>
    <w:rsid w:val="00981DDA"/>
    <w:rsid w:val="0098233F"/>
    <w:rsid w:val="00982C61"/>
    <w:rsid w:val="009833CB"/>
    <w:rsid w:val="009841EB"/>
    <w:rsid w:val="0098454E"/>
    <w:rsid w:val="009854D9"/>
    <w:rsid w:val="00985B3A"/>
    <w:rsid w:val="00985D6F"/>
    <w:rsid w:val="00987302"/>
    <w:rsid w:val="00987902"/>
    <w:rsid w:val="009900FC"/>
    <w:rsid w:val="0099073A"/>
    <w:rsid w:val="009908A2"/>
    <w:rsid w:val="00990CC4"/>
    <w:rsid w:val="00990DF7"/>
    <w:rsid w:val="00991B8C"/>
    <w:rsid w:val="00992342"/>
    <w:rsid w:val="009924EA"/>
    <w:rsid w:val="00992B2C"/>
    <w:rsid w:val="00992DA9"/>
    <w:rsid w:val="009946BE"/>
    <w:rsid w:val="00995BD7"/>
    <w:rsid w:val="00996763"/>
    <w:rsid w:val="009976AF"/>
    <w:rsid w:val="00997B92"/>
    <w:rsid w:val="009A0527"/>
    <w:rsid w:val="009A054C"/>
    <w:rsid w:val="009A18D6"/>
    <w:rsid w:val="009A2CD3"/>
    <w:rsid w:val="009A3AF1"/>
    <w:rsid w:val="009A3BCB"/>
    <w:rsid w:val="009A426A"/>
    <w:rsid w:val="009A4AE7"/>
    <w:rsid w:val="009A5001"/>
    <w:rsid w:val="009A53F5"/>
    <w:rsid w:val="009A6C44"/>
    <w:rsid w:val="009B21A8"/>
    <w:rsid w:val="009B2E59"/>
    <w:rsid w:val="009B3DCA"/>
    <w:rsid w:val="009B3ECD"/>
    <w:rsid w:val="009B421E"/>
    <w:rsid w:val="009B459F"/>
    <w:rsid w:val="009B4C0A"/>
    <w:rsid w:val="009B55C7"/>
    <w:rsid w:val="009B5EB2"/>
    <w:rsid w:val="009B6415"/>
    <w:rsid w:val="009B6A8F"/>
    <w:rsid w:val="009B6CA9"/>
    <w:rsid w:val="009B6ECD"/>
    <w:rsid w:val="009B6ECE"/>
    <w:rsid w:val="009B7C00"/>
    <w:rsid w:val="009C0E58"/>
    <w:rsid w:val="009C1384"/>
    <w:rsid w:val="009C23C5"/>
    <w:rsid w:val="009C28A4"/>
    <w:rsid w:val="009C2ADA"/>
    <w:rsid w:val="009C30CE"/>
    <w:rsid w:val="009C3638"/>
    <w:rsid w:val="009C4894"/>
    <w:rsid w:val="009C4C4D"/>
    <w:rsid w:val="009C5FA4"/>
    <w:rsid w:val="009C6834"/>
    <w:rsid w:val="009C74A8"/>
    <w:rsid w:val="009C7C50"/>
    <w:rsid w:val="009D03DE"/>
    <w:rsid w:val="009D070B"/>
    <w:rsid w:val="009D0829"/>
    <w:rsid w:val="009D0BA6"/>
    <w:rsid w:val="009D0BB9"/>
    <w:rsid w:val="009D17B4"/>
    <w:rsid w:val="009D2614"/>
    <w:rsid w:val="009D32AA"/>
    <w:rsid w:val="009D336E"/>
    <w:rsid w:val="009D422C"/>
    <w:rsid w:val="009D4B1E"/>
    <w:rsid w:val="009D4BBF"/>
    <w:rsid w:val="009D4F11"/>
    <w:rsid w:val="009D55BA"/>
    <w:rsid w:val="009D5702"/>
    <w:rsid w:val="009D5A4D"/>
    <w:rsid w:val="009D5B90"/>
    <w:rsid w:val="009D5F7B"/>
    <w:rsid w:val="009D6A35"/>
    <w:rsid w:val="009D6DCE"/>
    <w:rsid w:val="009D74CB"/>
    <w:rsid w:val="009E0E73"/>
    <w:rsid w:val="009E2453"/>
    <w:rsid w:val="009E2C2B"/>
    <w:rsid w:val="009E2C59"/>
    <w:rsid w:val="009E2E37"/>
    <w:rsid w:val="009E30C9"/>
    <w:rsid w:val="009E3332"/>
    <w:rsid w:val="009E3476"/>
    <w:rsid w:val="009E3E67"/>
    <w:rsid w:val="009E5421"/>
    <w:rsid w:val="009E5580"/>
    <w:rsid w:val="009E6B34"/>
    <w:rsid w:val="009E712B"/>
    <w:rsid w:val="009F00B7"/>
    <w:rsid w:val="009F0E15"/>
    <w:rsid w:val="009F1327"/>
    <w:rsid w:val="009F16D8"/>
    <w:rsid w:val="009F18E6"/>
    <w:rsid w:val="009F2C26"/>
    <w:rsid w:val="009F2FA7"/>
    <w:rsid w:val="009F331D"/>
    <w:rsid w:val="009F37F0"/>
    <w:rsid w:val="009F39B7"/>
    <w:rsid w:val="009F3D8E"/>
    <w:rsid w:val="009F45BE"/>
    <w:rsid w:val="009F4C7C"/>
    <w:rsid w:val="009F5738"/>
    <w:rsid w:val="009F5B88"/>
    <w:rsid w:val="009F6914"/>
    <w:rsid w:val="009F6A50"/>
    <w:rsid w:val="009F6DEF"/>
    <w:rsid w:val="009F79A8"/>
    <w:rsid w:val="00A006E4"/>
    <w:rsid w:val="00A0117C"/>
    <w:rsid w:val="00A01C67"/>
    <w:rsid w:val="00A01E29"/>
    <w:rsid w:val="00A01FA7"/>
    <w:rsid w:val="00A02E30"/>
    <w:rsid w:val="00A03171"/>
    <w:rsid w:val="00A035A1"/>
    <w:rsid w:val="00A03F87"/>
    <w:rsid w:val="00A043CC"/>
    <w:rsid w:val="00A05356"/>
    <w:rsid w:val="00A05CB5"/>
    <w:rsid w:val="00A072EE"/>
    <w:rsid w:val="00A076F6"/>
    <w:rsid w:val="00A07D88"/>
    <w:rsid w:val="00A10216"/>
    <w:rsid w:val="00A109CB"/>
    <w:rsid w:val="00A12A11"/>
    <w:rsid w:val="00A13BE9"/>
    <w:rsid w:val="00A1477E"/>
    <w:rsid w:val="00A14829"/>
    <w:rsid w:val="00A1493B"/>
    <w:rsid w:val="00A153B3"/>
    <w:rsid w:val="00A15891"/>
    <w:rsid w:val="00A1647B"/>
    <w:rsid w:val="00A1718C"/>
    <w:rsid w:val="00A1733B"/>
    <w:rsid w:val="00A178E1"/>
    <w:rsid w:val="00A17947"/>
    <w:rsid w:val="00A17F28"/>
    <w:rsid w:val="00A21442"/>
    <w:rsid w:val="00A21DD2"/>
    <w:rsid w:val="00A240D0"/>
    <w:rsid w:val="00A24BB4"/>
    <w:rsid w:val="00A24FA4"/>
    <w:rsid w:val="00A25592"/>
    <w:rsid w:val="00A25F41"/>
    <w:rsid w:val="00A26DDF"/>
    <w:rsid w:val="00A27BA7"/>
    <w:rsid w:val="00A30A7E"/>
    <w:rsid w:val="00A31CC9"/>
    <w:rsid w:val="00A31FB8"/>
    <w:rsid w:val="00A333CF"/>
    <w:rsid w:val="00A34D38"/>
    <w:rsid w:val="00A34E19"/>
    <w:rsid w:val="00A356A1"/>
    <w:rsid w:val="00A35C6C"/>
    <w:rsid w:val="00A36F56"/>
    <w:rsid w:val="00A374DF"/>
    <w:rsid w:val="00A37C47"/>
    <w:rsid w:val="00A40F7C"/>
    <w:rsid w:val="00A411D0"/>
    <w:rsid w:val="00A41A70"/>
    <w:rsid w:val="00A42284"/>
    <w:rsid w:val="00A43B6F"/>
    <w:rsid w:val="00A45C46"/>
    <w:rsid w:val="00A46FEC"/>
    <w:rsid w:val="00A47BDA"/>
    <w:rsid w:val="00A50A07"/>
    <w:rsid w:val="00A512A8"/>
    <w:rsid w:val="00A51EB1"/>
    <w:rsid w:val="00A52692"/>
    <w:rsid w:val="00A546E1"/>
    <w:rsid w:val="00A5472D"/>
    <w:rsid w:val="00A54778"/>
    <w:rsid w:val="00A54A87"/>
    <w:rsid w:val="00A54D9C"/>
    <w:rsid w:val="00A5682B"/>
    <w:rsid w:val="00A56B4C"/>
    <w:rsid w:val="00A57BE0"/>
    <w:rsid w:val="00A57C45"/>
    <w:rsid w:val="00A57FA7"/>
    <w:rsid w:val="00A57FFD"/>
    <w:rsid w:val="00A6057B"/>
    <w:rsid w:val="00A61632"/>
    <w:rsid w:val="00A62CDA"/>
    <w:rsid w:val="00A62DB7"/>
    <w:rsid w:val="00A62F1A"/>
    <w:rsid w:val="00A63EC0"/>
    <w:rsid w:val="00A6573C"/>
    <w:rsid w:val="00A661ED"/>
    <w:rsid w:val="00A667A3"/>
    <w:rsid w:val="00A677E6"/>
    <w:rsid w:val="00A70241"/>
    <w:rsid w:val="00A704DE"/>
    <w:rsid w:val="00A70DCE"/>
    <w:rsid w:val="00A71B25"/>
    <w:rsid w:val="00A7226E"/>
    <w:rsid w:val="00A72609"/>
    <w:rsid w:val="00A72BBA"/>
    <w:rsid w:val="00A72E36"/>
    <w:rsid w:val="00A73540"/>
    <w:rsid w:val="00A74C46"/>
    <w:rsid w:val="00A75930"/>
    <w:rsid w:val="00A75EA4"/>
    <w:rsid w:val="00A763C1"/>
    <w:rsid w:val="00A76CFE"/>
    <w:rsid w:val="00A770B1"/>
    <w:rsid w:val="00A7727B"/>
    <w:rsid w:val="00A778D2"/>
    <w:rsid w:val="00A77F0E"/>
    <w:rsid w:val="00A80F71"/>
    <w:rsid w:val="00A814E4"/>
    <w:rsid w:val="00A81682"/>
    <w:rsid w:val="00A82183"/>
    <w:rsid w:val="00A8320C"/>
    <w:rsid w:val="00A85160"/>
    <w:rsid w:val="00A851F5"/>
    <w:rsid w:val="00A854D5"/>
    <w:rsid w:val="00A85843"/>
    <w:rsid w:val="00A86623"/>
    <w:rsid w:val="00A86A7D"/>
    <w:rsid w:val="00A86BA2"/>
    <w:rsid w:val="00A8711F"/>
    <w:rsid w:val="00A90263"/>
    <w:rsid w:val="00A908FE"/>
    <w:rsid w:val="00A90F02"/>
    <w:rsid w:val="00A931DB"/>
    <w:rsid w:val="00A93D28"/>
    <w:rsid w:val="00A93E2A"/>
    <w:rsid w:val="00A940D7"/>
    <w:rsid w:val="00A94921"/>
    <w:rsid w:val="00A96336"/>
    <w:rsid w:val="00A9660A"/>
    <w:rsid w:val="00A96C2A"/>
    <w:rsid w:val="00A976D6"/>
    <w:rsid w:val="00A97757"/>
    <w:rsid w:val="00A97C83"/>
    <w:rsid w:val="00AA16AF"/>
    <w:rsid w:val="00AA28EE"/>
    <w:rsid w:val="00AA2944"/>
    <w:rsid w:val="00AA2A8D"/>
    <w:rsid w:val="00AA2D6D"/>
    <w:rsid w:val="00AA2D75"/>
    <w:rsid w:val="00AA319C"/>
    <w:rsid w:val="00AA4062"/>
    <w:rsid w:val="00AA5391"/>
    <w:rsid w:val="00AA5E67"/>
    <w:rsid w:val="00AA6193"/>
    <w:rsid w:val="00AA720F"/>
    <w:rsid w:val="00AB0245"/>
    <w:rsid w:val="00AB0A70"/>
    <w:rsid w:val="00AB0CE3"/>
    <w:rsid w:val="00AB1137"/>
    <w:rsid w:val="00AB1F06"/>
    <w:rsid w:val="00AB2050"/>
    <w:rsid w:val="00AB36AF"/>
    <w:rsid w:val="00AB40EF"/>
    <w:rsid w:val="00AB4C9F"/>
    <w:rsid w:val="00AB4CBB"/>
    <w:rsid w:val="00AB4EA5"/>
    <w:rsid w:val="00AB5A8F"/>
    <w:rsid w:val="00AB6074"/>
    <w:rsid w:val="00AB6374"/>
    <w:rsid w:val="00AB6A89"/>
    <w:rsid w:val="00AC02B6"/>
    <w:rsid w:val="00AC0803"/>
    <w:rsid w:val="00AC0F4F"/>
    <w:rsid w:val="00AC17CA"/>
    <w:rsid w:val="00AC1F38"/>
    <w:rsid w:val="00AC2A0D"/>
    <w:rsid w:val="00AC3D68"/>
    <w:rsid w:val="00AC4AF0"/>
    <w:rsid w:val="00AC51D9"/>
    <w:rsid w:val="00AC5A16"/>
    <w:rsid w:val="00AC5AD1"/>
    <w:rsid w:val="00AC5D9D"/>
    <w:rsid w:val="00AC6175"/>
    <w:rsid w:val="00AC62D2"/>
    <w:rsid w:val="00AC6D88"/>
    <w:rsid w:val="00AD1913"/>
    <w:rsid w:val="00AD247A"/>
    <w:rsid w:val="00AD2B08"/>
    <w:rsid w:val="00AD2F7F"/>
    <w:rsid w:val="00AD350D"/>
    <w:rsid w:val="00AD3AF0"/>
    <w:rsid w:val="00AD49F1"/>
    <w:rsid w:val="00AD50B2"/>
    <w:rsid w:val="00AE150C"/>
    <w:rsid w:val="00AE3151"/>
    <w:rsid w:val="00AE34BA"/>
    <w:rsid w:val="00AE39B1"/>
    <w:rsid w:val="00AE3BE7"/>
    <w:rsid w:val="00AE4C05"/>
    <w:rsid w:val="00AE4C09"/>
    <w:rsid w:val="00AE56EF"/>
    <w:rsid w:val="00AE7539"/>
    <w:rsid w:val="00AE7CDC"/>
    <w:rsid w:val="00AF0642"/>
    <w:rsid w:val="00AF1A4F"/>
    <w:rsid w:val="00AF2337"/>
    <w:rsid w:val="00AF253B"/>
    <w:rsid w:val="00AF2B38"/>
    <w:rsid w:val="00AF31C8"/>
    <w:rsid w:val="00AF3C59"/>
    <w:rsid w:val="00AF3DD1"/>
    <w:rsid w:val="00AF4413"/>
    <w:rsid w:val="00B01B24"/>
    <w:rsid w:val="00B01BD8"/>
    <w:rsid w:val="00B01E4A"/>
    <w:rsid w:val="00B02A59"/>
    <w:rsid w:val="00B02F2D"/>
    <w:rsid w:val="00B031AB"/>
    <w:rsid w:val="00B03474"/>
    <w:rsid w:val="00B0425F"/>
    <w:rsid w:val="00B05571"/>
    <w:rsid w:val="00B05D0F"/>
    <w:rsid w:val="00B0617B"/>
    <w:rsid w:val="00B06AEB"/>
    <w:rsid w:val="00B077B4"/>
    <w:rsid w:val="00B07A88"/>
    <w:rsid w:val="00B11080"/>
    <w:rsid w:val="00B110D9"/>
    <w:rsid w:val="00B11CFA"/>
    <w:rsid w:val="00B12790"/>
    <w:rsid w:val="00B14192"/>
    <w:rsid w:val="00B1423A"/>
    <w:rsid w:val="00B1506D"/>
    <w:rsid w:val="00B167EC"/>
    <w:rsid w:val="00B175DA"/>
    <w:rsid w:val="00B2120F"/>
    <w:rsid w:val="00B2143A"/>
    <w:rsid w:val="00B2175D"/>
    <w:rsid w:val="00B21DFC"/>
    <w:rsid w:val="00B226E8"/>
    <w:rsid w:val="00B22A61"/>
    <w:rsid w:val="00B232F2"/>
    <w:rsid w:val="00B236F5"/>
    <w:rsid w:val="00B2463A"/>
    <w:rsid w:val="00B247C4"/>
    <w:rsid w:val="00B25C23"/>
    <w:rsid w:val="00B25DC0"/>
    <w:rsid w:val="00B26AA3"/>
    <w:rsid w:val="00B2712B"/>
    <w:rsid w:val="00B271C4"/>
    <w:rsid w:val="00B30702"/>
    <w:rsid w:val="00B31D6C"/>
    <w:rsid w:val="00B3381C"/>
    <w:rsid w:val="00B340BB"/>
    <w:rsid w:val="00B34234"/>
    <w:rsid w:val="00B3445A"/>
    <w:rsid w:val="00B34C85"/>
    <w:rsid w:val="00B34E26"/>
    <w:rsid w:val="00B355FC"/>
    <w:rsid w:val="00B3581E"/>
    <w:rsid w:val="00B362DC"/>
    <w:rsid w:val="00B36774"/>
    <w:rsid w:val="00B3777A"/>
    <w:rsid w:val="00B37EE6"/>
    <w:rsid w:val="00B37FD6"/>
    <w:rsid w:val="00B4000F"/>
    <w:rsid w:val="00B412E5"/>
    <w:rsid w:val="00B424B9"/>
    <w:rsid w:val="00B43667"/>
    <w:rsid w:val="00B4450C"/>
    <w:rsid w:val="00B448CD"/>
    <w:rsid w:val="00B449E7"/>
    <w:rsid w:val="00B460DE"/>
    <w:rsid w:val="00B46654"/>
    <w:rsid w:val="00B46FA7"/>
    <w:rsid w:val="00B476A5"/>
    <w:rsid w:val="00B47D1E"/>
    <w:rsid w:val="00B47F4F"/>
    <w:rsid w:val="00B5287F"/>
    <w:rsid w:val="00B52D4C"/>
    <w:rsid w:val="00B53478"/>
    <w:rsid w:val="00B53FE6"/>
    <w:rsid w:val="00B5469C"/>
    <w:rsid w:val="00B5540A"/>
    <w:rsid w:val="00B55436"/>
    <w:rsid w:val="00B55AA9"/>
    <w:rsid w:val="00B55C7E"/>
    <w:rsid w:val="00B56FEB"/>
    <w:rsid w:val="00B57579"/>
    <w:rsid w:val="00B6039D"/>
    <w:rsid w:val="00B60463"/>
    <w:rsid w:val="00B60C23"/>
    <w:rsid w:val="00B6139C"/>
    <w:rsid w:val="00B614F4"/>
    <w:rsid w:val="00B6164C"/>
    <w:rsid w:val="00B616F9"/>
    <w:rsid w:val="00B6184F"/>
    <w:rsid w:val="00B618FB"/>
    <w:rsid w:val="00B61983"/>
    <w:rsid w:val="00B6292F"/>
    <w:rsid w:val="00B62C09"/>
    <w:rsid w:val="00B6318D"/>
    <w:rsid w:val="00B635BC"/>
    <w:rsid w:val="00B63601"/>
    <w:rsid w:val="00B63AF4"/>
    <w:rsid w:val="00B6488A"/>
    <w:rsid w:val="00B64A71"/>
    <w:rsid w:val="00B64C98"/>
    <w:rsid w:val="00B6631C"/>
    <w:rsid w:val="00B6639B"/>
    <w:rsid w:val="00B67611"/>
    <w:rsid w:val="00B6768E"/>
    <w:rsid w:val="00B67A1E"/>
    <w:rsid w:val="00B67EAC"/>
    <w:rsid w:val="00B7043C"/>
    <w:rsid w:val="00B7098B"/>
    <w:rsid w:val="00B712B7"/>
    <w:rsid w:val="00B72089"/>
    <w:rsid w:val="00B72981"/>
    <w:rsid w:val="00B72BC0"/>
    <w:rsid w:val="00B732A4"/>
    <w:rsid w:val="00B733AD"/>
    <w:rsid w:val="00B7391B"/>
    <w:rsid w:val="00B751F0"/>
    <w:rsid w:val="00B7538B"/>
    <w:rsid w:val="00B755A9"/>
    <w:rsid w:val="00B769F0"/>
    <w:rsid w:val="00B76C2A"/>
    <w:rsid w:val="00B773D9"/>
    <w:rsid w:val="00B81052"/>
    <w:rsid w:val="00B81C0C"/>
    <w:rsid w:val="00B822CE"/>
    <w:rsid w:val="00B822DB"/>
    <w:rsid w:val="00B82B4D"/>
    <w:rsid w:val="00B82CF7"/>
    <w:rsid w:val="00B830FA"/>
    <w:rsid w:val="00B832B3"/>
    <w:rsid w:val="00B83891"/>
    <w:rsid w:val="00B86439"/>
    <w:rsid w:val="00B8760D"/>
    <w:rsid w:val="00B87974"/>
    <w:rsid w:val="00B87AB8"/>
    <w:rsid w:val="00B90F04"/>
    <w:rsid w:val="00B91DCE"/>
    <w:rsid w:val="00B920EA"/>
    <w:rsid w:val="00B952E8"/>
    <w:rsid w:val="00B9554C"/>
    <w:rsid w:val="00B955A4"/>
    <w:rsid w:val="00B95A36"/>
    <w:rsid w:val="00B95F3A"/>
    <w:rsid w:val="00B96C9A"/>
    <w:rsid w:val="00B971DC"/>
    <w:rsid w:val="00B97F3D"/>
    <w:rsid w:val="00B97F88"/>
    <w:rsid w:val="00BA0298"/>
    <w:rsid w:val="00BA0F48"/>
    <w:rsid w:val="00BA152B"/>
    <w:rsid w:val="00BA19E7"/>
    <w:rsid w:val="00BA1D57"/>
    <w:rsid w:val="00BA252A"/>
    <w:rsid w:val="00BA280E"/>
    <w:rsid w:val="00BA339D"/>
    <w:rsid w:val="00BA4839"/>
    <w:rsid w:val="00BA6261"/>
    <w:rsid w:val="00BA70E3"/>
    <w:rsid w:val="00BA7E35"/>
    <w:rsid w:val="00BB0477"/>
    <w:rsid w:val="00BB0D46"/>
    <w:rsid w:val="00BB167F"/>
    <w:rsid w:val="00BB16B4"/>
    <w:rsid w:val="00BB2577"/>
    <w:rsid w:val="00BB2F9A"/>
    <w:rsid w:val="00BB302E"/>
    <w:rsid w:val="00BB4353"/>
    <w:rsid w:val="00BB6484"/>
    <w:rsid w:val="00BB69E8"/>
    <w:rsid w:val="00BB6AC8"/>
    <w:rsid w:val="00BB6D6D"/>
    <w:rsid w:val="00BB6FF1"/>
    <w:rsid w:val="00BB7417"/>
    <w:rsid w:val="00BB7E29"/>
    <w:rsid w:val="00BC0792"/>
    <w:rsid w:val="00BC0EFD"/>
    <w:rsid w:val="00BC17EF"/>
    <w:rsid w:val="00BC2F7F"/>
    <w:rsid w:val="00BC3198"/>
    <w:rsid w:val="00BC3386"/>
    <w:rsid w:val="00BC36C7"/>
    <w:rsid w:val="00BC42D8"/>
    <w:rsid w:val="00BC5983"/>
    <w:rsid w:val="00BC6061"/>
    <w:rsid w:val="00BC6646"/>
    <w:rsid w:val="00BC6C07"/>
    <w:rsid w:val="00BD023E"/>
    <w:rsid w:val="00BD0509"/>
    <w:rsid w:val="00BD11C1"/>
    <w:rsid w:val="00BD3162"/>
    <w:rsid w:val="00BD3168"/>
    <w:rsid w:val="00BD3698"/>
    <w:rsid w:val="00BD3D26"/>
    <w:rsid w:val="00BD54B8"/>
    <w:rsid w:val="00BD58DD"/>
    <w:rsid w:val="00BD5ECA"/>
    <w:rsid w:val="00BD71F6"/>
    <w:rsid w:val="00BD7EE6"/>
    <w:rsid w:val="00BE0CBA"/>
    <w:rsid w:val="00BE15A1"/>
    <w:rsid w:val="00BE1638"/>
    <w:rsid w:val="00BE27D3"/>
    <w:rsid w:val="00BE3B3C"/>
    <w:rsid w:val="00BE3C59"/>
    <w:rsid w:val="00BE47E0"/>
    <w:rsid w:val="00BE5173"/>
    <w:rsid w:val="00BE5CE3"/>
    <w:rsid w:val="00BE6635"/>
    <w:rsid w:val="00BE6E10"/>
    <w:rsid w:val="00BE798C"/>
    <w:rsid w:val="00BE7AD0"/>
    <w:rsid w:val="00BE7F8D"/>
    <w:rsid w:val="00BF090D"/>
    <w:rsid w:val="00BF09E5"/>
    <w:rsid w:val="00BF100E"/>
    <w:rsid w:val="00BF1BE6"/>
    <w:rsid w:val="00BF2327"/>
    <w:rsid w:val="00BF2F32"/>
    <w:rsid w:val="00BF356A"/>
    <w:rsid w:val="00BF4AB6"/>
    <w:rsid w:val="00BF4AEC"/>
    <w:rsid w:val="00BF534F"/>
    <w:rsid w:val="00BF55FF"/>
    <w:rsid w:val="00BF5A08"/>
    <w:rsid w:val="00BF6515"/>
    <w:rsid w:val="00BF6E1C"/>
    <w:rsid w:val="00BF722C"/>
    <w:rsid w:val="00BF730E"/>
    <w:rsid w:val="00BF7E84"/>
    <w:rsid w:val="00C00777"/>
    <w:rsid w:val="00C00E03"/>
    <w:rsid w:val="00C01DA1"/>
    <w:rsid w:val="00C02CE9"/>
    <w:rsid w:val="00C0313D"/>
    <w:rsid w:val="00C03FD9"/>
    <w:rsid w:val="00C049FF"/>
    <w:rsid w:val="00C04B2E"/>
    <w:rsid w:val="00C05A09"/>
    <w:rsid w:val="00C068DF"/>
    <w:rsid w:val="00C06BAC"/>
    <w:rsid w:val="00C06E44"/>
    <w:rsid w:val="00C07309"/>
    <w:rsid w:val="00C079E4"/>
    <w:rsid w:val="00C1092F"/>
    <w:rsid w:val="00C10958"/>
    <w:rsid w:val="00C10DEA"/>
    <w:rsid w:val="00C122D5"/>
    <w:rsid w:val="00C12557"/>
    <w:rsid w:val="00C12A8A"/>
    <w:rsid w:val="00C13063"/>
    <w:rsid w:val="00C1372B"/>
    <w:rsid w:val="00C15344"/>
    <w:rsid w:val="00C164DC"/>
    <w:rsid w:val="00C16EAA"/>
    <w:rsid w:val="00C16F9B"/>
    <w:rsid w:val="00C1714C"/>
    <w:rsid w:val="00C20517"/>
    <w:rsid w:val="00C209FE"/>
    <w:rsid w:val="00C20BA8"/>
    <w:rsid w:val="00C21AC9"/>
    <w:rsid w:val="00C222F1"/>
    <w:rsid w:val="00C22414"/>
    <w:rsid w:val="00C22FC7"/>
    <w:rsid w:val="00C23DC2"/>
    <w:rsid w:val="00C2456D"/>
    <w:rsid w:val="00C24592"/>
    <w:rsid w:val="00C24E80"/>
    <w:rsid w:val="00C25112"/>
    <w:rsid w:val="00C271D9"/>
    <w:rsid w:val="00C3025E"/>
    <w:rsid w:val="00C30564"/>
    <w:rsid w:val="00C307FB"/>
    <w:rsid w:val="00C3345C"/>
    <w:rsid w:val="00C339EF"/>
    <w:rsid w:val="00C33D68"/>
    <w:rsid w:val="00C34640"/>
    <w:rsid w:val="00C349C7"/>
    <w:rsid w:val="00C35AEC"/>
    <w:rsid w:val="00C35E02"/>
    <w:rsid w:val="00C36104"/>
    <w:rsid w:val="00C36B18"/>
    <w:rsid w:val="00C36E15"/>
    <w:rsid w:val="00C378ED"/>
    <w:rsid w:val="00C412BA"/>
    <w:rsid w:val="00C41825"/>
    <w:rsid w:val="00C41AE9"/>
    <w:rsid w:val="00C427F6"/>
    <w:rsid w:val="00C42894"/>
    <w:rsid w:val="00C43511"/>
    <w:rsid w:val="00C44720"/>
    <w:rsid w:val="00C46A19"/>
    <w:rsid w:val="00C46A1A"/>
    <w:rsid w:val="00C46EF3"/>
    <w:rsid w:val="00C472FE"/>
    <w:rsid w:val="00C47BBB"/>
    <w:rsid w:val="00C50B3D"/>
    <w:rsid w:val="00C511A6"/>
    <w:rsid w:val="00C51836"/>
    <w:rsid w:val="00C51BF0"/>
    <w:rsid w:val="00C51CF5"/>
    <w:rsid w:val="00C52183"/>
    <w:rsid w:val="00C53524"/>
    <w:rsid w:val="00C53FD1"/>
    <w:rsid w:val="00C54365"/>
    <w:rsid w:val="00C54823"/>
    <w:rsid w:val="00C5600F"/>
    <w:rsid w:val="00C567BC"/>
    <w:rsid w:val="00C579A2"/>
    <w:rsid w:val="00C57B26"/>
    <w:rsid w:val="00C6479D"/>
    <w:rsid w:val="00C6488C"/>
    <w:rsid w:val="00C65E89"/>
    <w:rsid w:val="00C660B4"/>
    <w:rsid w:val="00C6619D"/>
    <w:rsid w:val="00C669E8"/>
    <w:rsid w:val="00C677E7"/>
    <w:rsid w:val="00C678CB"/>
    <w:rsid w:val="00C67BCD"/>
    <w:rsid w:val="00C67FAC"/>
    <w:rsid w:val="00C70B41"/>
    <w:rsid w:val="00C71656"/>
    <w:rsid w:val="00C716B7"/>
    <w:rsid w:val="00C72158"/>
    <w:rsid w:val="00C7333B"/>
    <w:rsid w:val="00C739F8"/>
    <w:rsid w:val="00C7434C"/>
    <w:rsid w:val="00C745E0"/>
    <w:rsid w:val="00C74A3D"/>
    <w:rsid w:val="00C751A8"/>
    <w:rsid w:val="00C75B88"/>
    <w:rsid w:val="00C75C98"/>
    <w:rsid w:val="00C76842"/>
    <w:rsid w:val="00C80942"/>
    <w:rsid w:val="00C81952"/>
    <w:rsid w:val="00C855E0"/>
    <w:rsid w:val="00C86050"/>
    <w:rsid w:val="00C86A87"/>
    <w:rsid w:val="00C86A90"/>
    <w:rsid w:val="00C86D3C"/>
    <w:rsid w:val="00C901C0"/>
    <w:rsid w:val="00C90481"/>
    <w:rsid w:val="00C90EAC"/>
    <w:rsid w:val="00C91590"/>
    <w:rsid w:val="00C9251F"/>
    <w:rsid w:val="00C92CD2"/>
    <w:rsid w:val="00C931FF"/>
    <w:rsid w:val="00C933AB"/>
    <w:rsid w:val="00C95FDC"/>
    <w:rsid w:val="00C9667F"/>
    <w:rsid w:val="00C96C64"/>
    <w:rsid w:val="00C974A4"/>
    <w:rsid w:val="00C9783D"/>
    <w:rsid w:val="00C97F69"/>
    <w:rsid w:val="00CA080B"/>
    <w:rsid w:val="00CA21A3"/>
    <w:rsid w:val="00CA34A8"/>
    <w:rsid w:val="00CA379B"/>
    <w:rsid w:val="00CA4128"/>
    <w:rsid w:val="00CA42C8"/>
    <w:rsid w:val="00CA4B2D"/>
    <w:rsid w:val="00CA511A"/>
    <w:rsid w:val="00CA5B80"/>
    <w:rsid w:val="00CA6052"/>
    <w:rsid w:val="00CA619F"/>
    <w:rsid w:val="00CA61E4"/>
    <w:rsid w:val="00CA7010"/>
    <w:rsid w:val="00CB0077"/>
    <w:rsid w:val="00CB052B"/>
    <w:rsid w:val="00CB066D"/>
    <w:rsid w:val="00CB0F05"/>
    <w:rsid w:val="00CB1013"/>
    <w:rsid w:val="00CB2476"/>
    <w:rsid w:val="00CB31AC"/>
    <w:rsid w:val="00CB3C0F"/>
    <w:rsid w:val="00CB41C9"/>
    <w:rsid w:val="00CB4E20"/>
    <w:rsid w:val="00CB4EB2"/>
    <w:rsid w:val="00CB526B"/>
    <w:rsid w:val="00CB561C"/>
    <w:rsid w:val="00CB568E"/>
    <w:rsid w:val="00CB5EC9"/>
    <w:rsid w:val="00CB6147"/>
    <w:rsid w:val="00CB6AA2"/>
    <w:rsid w:val="00CB7CEC"/>
    <w:rsid w:val="00CC029A"/>
    <w:rsid w:val="00CC0397"/>
    <w:rsid w:val="00CC081D"/>
    <w:rsid w:val="00CC21D2"/>
    <w:rsid w:val="00CC2C21"/>
    <w:rsid w:val="00CC38B1"/>
    <w:rsid w:val="00CC6477"/>
    <w:rsid w:val="00CC7E9D"/>
    <w:rsid w:val="00CC7F77"/>
    <w:rsid w:val="00CD0289"/>
    <w:rsid w:val="00CD030D"/>
    <w:rsid w:val="00CD1E53"/>
    <w:rsid w:val="00CD204B"/>
    <w:rsid w:val="00CD2E25"/>
    <w:rsid w:val="00CD3165"/>
    <w:rsid w:val="00CD3863"/>
    <w:rsid w:val="00CD3DB9"/>
    <w:rsid w:val="00CD448D"/>
    <w:rsid w:val="00CD494F"/>
    <w:rsid w:val="00CD672D"/>
    <w:rsid w:val="00CD6F34"/>
    <w:rsid w:val="00CD784F"/>
    <w:rsid w:val="00CD7BE2"/>
    <w:rsid w:val="00CD7CF3"/>
    <w:rsid w:val="00CE0681"/>
    <w:rsid w:val="00CE0A2E"/>
    <w:rsid w:val="00CE0D31"/>
    <w:rsid w:val="00CE3523"/>
    <w:rsid w:val="00CE4CAB"/>
    <w:rsid w:val="00CE4D0A"/>
    <w:rsid w:val="00CE52F2"/>
    <w:rsid w:val="00CE58B5"/>
    <w:rsid w:val="00CE6661"/>
    <w:rsid w:val="00CE71DE"/>
    <w:rsid w:val="00CE77DB"/>
    <w:rsid w:val="00CF1FF3"/>
    <w:rsid w:val="00CF31BC"/>
    <w:rsid w:val="00CF36A1"/>
    <w:rsid w:val="00CF3D28"/>
    <w:rsid w:val="00CF3E29"/>
    <w:rsid w:val="00CF4BAB"/>
    <w:rsid w:val="00CF4FCA"/>
    <w:rsid w:val="00CF571B"/>
    <w:rsid w:val="00CF6729"/>
    <w:rsid w:val="00CF6D64"/>
    <w:rsid w:val="00CF704F"/>
    <w:rsid w:val="00CF728D"/>
    <w:rsid w:val="00CF7CAB"/>
    <w:rsid w:val="00D006EF"/>
    <w:rsid w:val="00D0082A"/>
    <w:rsid w:val="00D00E37"/>
    <w:rsid w:val="00D012AF"/>
    <w:rsid w:val="00D01778"/>
    <w:rsid w:val="00D01801"/>
    <w:rsid w:val="00D01AFD"/>
    <w:rsid w:val="00D01DA7"/>
    <w:rsid w:val="00D01FA9"/>
    <w:rsid w:val="00D028A8"/>
    <w:rsid w:val="00D0291F"/>
    <w:rsid w:val="00D04093"/>
    <w:rsid w:val="00D04A5C"/>
    <w:rsid w:val="00D04E80"/>
    <w:rsid w:val="00D05194"/>
    <w:rsid w:val="00D054CC"/>
    <w:rsid w:val="00D06136"/>
    <w:rsid w:val="00D100A5"/>
    <w:rsid w:val="00D1038D"/>
    <w:rsid w:val="00D11A1F"/>
    <w:rsid w:val="00D11F6C"/>
    <w:rsid w:val="00D12E6E"/>
    <w:rsid w:val="00D145A5"/>
    <w:rsid w:val="00D14E10"/>
    <w:rsid w:val="00D15287"/>
    <w:rsid w:val="00D15324"/>
    <w:rsid w:val="00D15400"/>
    <w:rsid w:val="00D158EA"/>
    <w:rsid w:val="00D15AAD"/>
    <w:rsid w:val="00D15B26"/>
    <w:rsid w:val="00D16E42"/>
    <w:rsid w:val="00D175AE"/>
    <w:rsid w:val="00D2131E"/>
    <w:rsid w:val="00D21E0D"/>
    <w:rsid w:val="00D2301C"/>
    <w:rsid w:val="00D23258"/>
    <w:rsid w:val="00D2397C"/>
    <w:rsid w:val="00D246EC"/>
    <w:rsid w:val="00D26898"/>
    <w:rsid w:val="00D2748E"/>
    <w:rsid w:val="00D2792A"/>
    <w:rsid w:val="00D31275"/>
    <w:rsid w:val="00D312A2"/>
    <w:rsid w:val="00D31317"/>
    <w:rsid w:val="00D31849"/>
    <w:rsid w:val="00D321AE"/>
    <w:rsid w:val="00D3280B"/>
    <w:rsid w:val="00D32C25"/>
    <w:rsid w:val="00D33115"/>
    <w:rsid w:val="00D3325F"/>
    <w:rsid w:val="00D33749"/>
    <w:rsid w:val="00D33976"/>
    <w:rsid w:val="00D343C9"/>
    <w:rsid w:val="00D34CF4"/>
    <w:rsid w:val="00D34FE5"/>
    <w:rsid w:val="00D3543B"/>
    <w:rsid w:val="00D366CB"/>
    <w:rsid w:val="00D37269"/>
    <w:rsid w:val="00D3751C"/>
    <w:rsid w:val="00D37D60"/>
    <w:rsid w:val="00D40B3E"/>
    <w:rsid w:val="00D4228D"/>
    <w:rsid w:val="00D42A63"/>
    <w:rsid w:val="00D42B61"/>
    <w:rsid w:val="00D42FF2"/>
    <w:rsid w:val="00D43981"/>
    <w:rsid w:val="00D43C21"/>
    <w:rsid w:val="00D441FC"/>
    <w:rsid w:val="00D44F1C"/>
    <w:rsid w:val="00D45819"/>
    <w:rsid w:val="00D4622E"/>
    <w:rsid w:val="00D462C8"/>
    <w:rsid w:val="00D474C8"/>
    <w:rsid w:val="00D508AF"/>
    <w:rsid w:val="00D51044"/>
    <w:rsid w:val="00D517E8"/>
    <w:rsid w:val="00D52464"/>
    <w:rsid w:val="00D53753"/>
    <w:rsid w:val="00D539E0"/>
    <w:rsid w:val="00D540ED"/>
    <w:rsid w:val="00D547C6"/>
    <w:rsid w:val="00D55717"/>
    <w:rsid w:val="00D55D7C"/>
    <w:rsid w:val="00D55EC3"/>
    <w:rsid w:val="00D56CBD"/>
    <w:rsid w:val="00D56D2E"/>
    <w:rsid w:val="00D56EB0"/>
    <w:rsid w:val="00D57518"/>
    <w:rsid w:val="00D60441"/>
    <w:rsid w:val="00D608EC"/>
    <w:rsid w:val="00D60B18"/>
    <w:rsid w:val="00D61A99"/>
    <w:rsid w:val="00D61BB4"/>
    <w:rsid w:val="00D627F2"/>
    <w:rsid w:val="00D629F8"/>
    <w:rsid w:val="00D62A44"/>
    <w:rsid w:val="00D63933"/>
    <w:rsid w:val="00D657D8"/>
    <w:rsid w:val="00D674ED"/>
    <w:rsid w:val="00D676B6"/>
    <w:rsid w:val="00D746D6"/>
    <w:rsid w:val="00D74824"/>
    <w:rsid w:val="00D7491A"/>
    <w:rsid w:val="00D761EC"/>
    <w:rsid w:val="00D76431"/>
    <w:rsid w:val="00D76B5B"/>
    <w:rsid w:val="00D77416"/>
    <w:rsid w:val="00D77687"/>
    <w:rsid w:val="00D81126"/>
    <w:rsid w:val="00D82715"/>
    <w:rsid w:val="00D82987"/>
    <w:rsid w:val="00D844FB"/>
    <w:rsid w:val="00D84794"/>
    <w:rsid w:val="00D85274"/>
    <w:rsid w:val="00D8543F"/>
    <w:rsid w:val="00D856F5"/>
    <w:rsid w:val="00D8640E"/>
    <w:rsid w:val="00D876AF"/>
    <w:rsid w:val="00D87DAA"/>
    <w:rsid w:val="00D90301"/>
    <w:rsid w:val="00D91443"/>
    <w:rsid w:val="00D919A7"/>
    <w:rsid w:val="00D91FE0"/>
    <w:rsid w:val="00D9271C"/>
    <w:rsid w:val="00D935DC"/>
    <w:rsid w:val="00D93D6C"/>
    <w:rsid w:val="00D9405B"/>
    <w:rsid w:val="00D94660"/>
    <w:rsid w:val="00D947A6"/>
    <w:rsid w:val="00D968D8"/>
    <w:rsid w:val="00D974FD"/>
    <w:rsid w:val="00DA1A4B"/>
    <w:rsid w:val="00DA1DEB"/>
    <w:rsid w:val="00DA34EF"/>
    <w:rsid w:val="00DA3A66"/>
    <w:rsid w:val="00DA3AA2"/>
    <w:rsid w:val="00DA4759"/>
    <w:rsid w:val="00DA475D"/>
    <w:rsid w:val="00DA4A90"/>
    <w:rsid w:val="00DA4B25"/>
    <w:rsid w:val="00DA4E02"/>
    <w:rsid w:val="00DA5766"/>
    <w:rsid w:val="00DA5C99"/>
    <w:rsid w:val="00DA6186"/>
    <w:rsid w:val="00DA6BB1"/>
    <w:rsid w:val="00DA7029"/>
    <w:rsid w:val="00DB367D"/>
    <w:rsid w:val="00DB39C8"/>
    <w:rsid w:val="00DB4001"/>
    <w:rsid w:val="00DB4DF0"/>
    <w:rsid w:val="00DB4E5C"/>
    <w:rsid w:val="00DB52AE"/>
    <w:rsid w:val="00DB6197"/>
    <w:rsid w:val="00DB77AD"/>
    <w:rsid w:val="00DB7E59"/>
    <w:rsid w:val="00DC0511"/>
    <w:rsid w:val="00DC09F5"/>
    <w:rsid w:val="00DC16E1"/>
    <w:rsid w:val="00DC2838"/>
    <w:rsid w:val="00DC3ADB"/>
    <w:rsid w:val="00DC4FF2"/>
    <w:rsid w:val="00DC5AF4"/>
    <w:rsid w:val="00DC7E27"/>
    <w:rsid w:val="00DD058E"/>
    <w:rsid w:val="00DD0E4B"/>
    <w:rsid w:val="00DD0EBA"/>
    <w:rsid w:val="00DD10FA"/>
    <w:rsid w:val="00DD128E"/>
    <w:rsid w:val="00DD131D"/>
    <w:rsid w:val="00DD2286"/>
    <w:rsid w:val="00DD22B4"/>
    <w:rsid w:val="00DD28D0"/>
    <w:rsid w:val="00DD2EBE"/>
    <w:rsid w:val="00DD2FC4"/>
    <w:rsid w:val="00DD3806"/>
    <w:rsid w:val="00DD384D"/>
    <w:rsid w:val="00DD3EA3"/>
    <w:rsid w:val="00DD5873"/>
    <w:rsid w:val="00DD6233"/>
    <w:rsid w:val="00DD657B"/>
    <w:rsid w:val="00DD6D37"/>
    <w:rsid w:val="00DD6E2F"/>
    <w:rsid w:val="00DE00E2"/>
    <w:rsid w:val="00DE0E0F"/>
    <w:rsid w:val="00DE0E16"/>
    <w:rsid w:val="00DE179A"/>
    <w:rsid w:val="00DE1CA7"/>
    <w:rsid w:val="00DE22A6"/>
    <w:rsid w:val="00DE285A"/>
    <w:rsid w:val="00DE2D4D"/>
    <w:rsid w:val="00DE348D"/>
    <w:rsid w:val="00DE6AE0"/>
    <w:rsid w:val="00DE70E1"/>
    <w:rsid w:val="00DE749E"/>
    <w:rsid w:val="00DE779A"/>
    <w:rsid w:val="00DF08E0"/>
    <w:rsid w:val="00DF0EDC"/>
    <w:rsid w:val="00DF12FB"/>
    <w:rsid w:val="00DF1421"/>
    <w:rsid w:val="00DF1CD0"/>
    <w:rsid w:val="00DF1FCA"/>
    <w:rsid w:val="00DF28BD"/>
    <w:rsid w:val="00DF3BD2"/>
    <w:rsid w:val="00DF4283"/>
    <w:rsid w:val="00DF52CB"/>
    <w:rsid w:val="00DF5477"/>
    <w:rsid w:val="00DF54D8"/>
    <w:rsid w:val="00DF5A37"/>
    <w:rsid w:val="00DF5C15"/>
    <w:rsid w:val="00DF62D3"/>
    <w:rsid w:val="00DF7046"/>
    <w:rsid w:val="00DF73FD"/>
    <w:rsid w:val="00DF7732"/>
    <w:rsid w:val="00DF7DD7"/>
    <w:rsid w:val="00E00639"/>
    <w:rsid w:val="00E027AA"/>
    <w:rsid w:val="00E03FB7"/>
    <w:rsid w:val="00E0464D"/>
    <w:rsid w:val="00E05857"/>
    <w:rsid w:val="00E05F69"/>
    <w:rsid w:val="00E069FF"/>
    <w:rsid w:val="00E06A59"/>
    <w:rsid w:val="00E06F90"/>
    <w:rsid w:val="00E075BF"/>
    <w:rsid w:val="00E076FB"/>
    <w:rsid w:val="00E07A89"/>
    <w:rsid w:val="00E07E80"/>
    <w:rsid w:val="00E103C7"/>
    <w:rsid w:val="00E10662"/>
    <w:rsid w:val="00E111C1"/>
    <w:rsid w:val="00E11654"/>
    <w:rsid w:val="00E1165A"/>
    <w:rsid w:val="00E11C5F"/>
    <w:rsid w:val="00E11D64"/>
    <w:rsid w:val="00E11F70"/>
    <w:rsid w:val="00E12F63"/>
    <w:rsid w:val="00E13594"/>
    <w:rsid w:val="00E13F4D"/>
    <w:rsid w:val="00E1549B"/>
    <w:rsid w:val="00E155ED"/>
    <w:rsid w:val="00E15F99"/>
    <w:rsid w:val="00E16898"/>
    <w:rsid w:val="00E1782C"/>
    <w:rsid w:val="00E20A94"/>
    <w:rsid w:val="00E2105A"/>
    <w:rsid w:val="00E22134"/>
    <w:rsid w:val="00E22AFB"/>
    <w:rsid w:val="00E22B9F"/>
    <w:rsid w:val="00E22BE3"/>
    <w:rsid w:val="00E23889"/>
    <w:rsid w:val="00E23F4C"/>
    <w:rsid w:val="00E243E6"/>
    <w:rsid w:val="00E250EB"/>
    <w:rsid w:val="00E25198"/>
    <w:rsid w:val="00E2605D"/>
    <w:rsid w:val="00E26B80"/>
    <w:rsid w:val="00E27CF6"/>
    <w:rsid w:val="00E307C0"/>
    <w:rsid w:val="00E31120"/>
    <w:rsid w:val="00E318BE"/>
    <w:rsid w:val="00E3193C"/>
    <w:rsid w:val="00E331B9"/>
    <w:rsid w:val="00E33370"/>
    <w:rsid w:val="00E35044"/>
    <w:rsid w:val="00E35099"/>
    <w:rsid w:val="00E359D8"/>
    <w:rsid w:val="00E35E54"/>
    <w:rsid w:val="00E36A0E"/>
    <w:rsid w:val="00E40047"/>
    <w:rsid w:val="00E400A5"/>
    <w:rsid w:val="00E4030E"/>
    <w:rsid w:val="00E40E12"/>
    <w:rsid w:val="00E41112"/>
    <w:rsid w:val="00E41222"/>
    <w:rsid w:val="00E427B5"/>
    <w:rsid w:val="00E42B6D"/>
    <w:rsid w:val="00E43529"/>
    <w:rsid w:val="00E44936"/>
    <w:rsid w:val="00E47691"/>
    <w:rsid w:val="00E47C1F"/>
    <w:rsid w:val="00E503F8"/>
    <w:rsid w:val="00E50456"/>
    <w:rsid w:val="00E50AE7"/>
    <w:rsid w:val="00E51A0A"/>
    <w:rsid w:val="00E51B87"/>
    <w:rsid w:val="00E527E8"/>
    <w:rsid w:val="00E53424"/>
    <w:rsid w:val="00E53FD6"/>
    <w:rsid w:val="00E54E76"/>
    <w:rsid w:val="00E54F4A"/>
    <w:rsid w:val="00E5563A"/>
    <w:rsid w:val="00E5586B"/>
    <w:rsid w:val="00E56305"/>
    <w:rsid w:val="00E5648A"/>
    <w:rsid w:val="00E56E75"/>
    <w:rsid w:val="00E57228"/>
    <w:rsid w:val="00E574D9"/>
    <w:rsid w:val="00E57E36"/>
    <w:rsid w:val="00E6080D"/>
    <w:rsid w:val="00E60B68"/>
    <w:rsid w:val="00E60F58"/>
    <w:rsid w:val="00E61F03"/>
    <w:rsid w:val="00E621E1"/>
    <w:rsid w:val="00E623C4"/>
    <w:rsid w:val="00E62B13"/>
    <w:rsid w:val="00E62CC1"/>
    <w:rsid w:val="00E6327B"/>
    <w:rsid w:val="00E63367"/>
    <w:rsid w:val="00E6389D"/>
    <w:rsid w:val="00E64AD9"/>
    <w:rsid w:val="00E66B30"/>
    <w:rsid w:val="00E67654"/>
    <w:rsid w:val="00E6795A"/>
    <w:rsid w:val="00E7083C"/>
    <w:rsid w:val="00E70BB6"/>
    <w:rsid w:val="00E719AC"/>
    <w:rsid w:val="00E72756"/>
    <w:rsid w:val="00E72E38"/>
    <w:rsid w:val="00E74818"/>
    <w:rsid w:val="00E75315"/>
    <w:rsid w:val="00E7586E"/>
    <w:rsid w:val="00E80E97"/>
    <w:rsid w:val="00E81E77"/>
    <w:rsid w:val="00E82E23"/>
    <w:rsid w:val="00E841C7"/>
    <w:rsid w:val="00E84411"/>
    <w:rsid w:val="00E84ACF"/>
    <w:rsid w:val="00E869B2"/>
    <w:rsid w:val="00E876F3"/>
    <w:rsid w:val="00E90198"/>
    <w:rsid w:val="00E907F4"/>
    <w:rsid w:val="00E909CD"/>
    <w:rsid w:val="00E90FC3"/>
    <w:rsid w:val="00E94432"/>
    <w:rsid w:val="00E94508"/>
    <w:rsid w:val="00E95923"/>
    <w:rsid w:val="00E96354"/>
    <w:rsid w:val="00E96746"/>
    <w:rsid w:val="00E971DA"/>
    <w:rsid w:val="00EA00CB"/>
    <w:rsid w:val="00EA0B4B"/>
    <w:rsid w:val="00EA1144"/>
    <w:rsid w:val="00EA1A56"/>
    <w:rsid w:val="00EA1AE4"/>
    <w:rsid w:val="00EA2720"/>
    <w:rsid w:val="00EA2EE3"/>
    <w:rsid w:val="00EA3A04"/>
    <w:rsid w:val="00EA3B4F"/>
    <w:rsid w:val="00EA424B"/>
    <w:rsid w:val="00EA44F3"/>
    <w:rsid w:val="00EA47F1"/>
    <w:rsid w:val="00EA51E6"/>
    <w:rsid w:val="00EA5946"/>
    <w:rsid w:val="00EA6BFA"/>
    <w:rsid w:val="00EA7A93"/>
    <w:rsid w:val="00EB2753"/>
    <w:rsid w:val="00EB3EBD"/>
    <w:rsid w:val="00EB4829"/>
    <w:rsid w:val="00EB4C7A"/>
    <w:rsid w:val="00EB53A7"/>
    <w:rsid w:val="00EB5ECE"/>
    <w:rsid w:val="00EB7E7B"/>
    <w:rsid w:val="00EC1188"/>
    <w:rsid w:val="00EC1387"/>
    <w:rsid w:val="00EC1B7D"/>
    <w:rsid w:val="00EC1D5D"/>
    <w:rsid w:val="00EC242E"/>
    <w:rsid w:val="00EC2B43"/>
    <w:rsid w:val="00EC32C5"/>
    <w:rsid w:val="00EC4868"/>
    <w:rsid w:val="00EC5525"/>
    <w:rsid w:val="00EC5B6E"/>
    <w:rsid w:val="00EC5C60"/>
    <w:rsid w:val="00EC6A66"/>
    <w:rsid w:val="00EC7D34"/>
    <w:rsid w:val="00ED07D1"/>
    <w:rsid w:val="00ED0998"/>
    <w:rsid w:val="00ED1E08"/>
    <w:rsid w:val="00ED2E01"/>
    <w:rsid w:val="00ED5055"/>
    <w:rsid w:val="00ED66CC"/>
    <w:rsid w:val="00ED6D82"/>
    <w:rsid w:val="00ED769B"/>
    <w:rsid w:val="00EE01A9"/>
    <w:rsid w:val="00EE15BD"/>
    <w:rsid w:val="00EE1741"/>
    <w:rsid w:val="00EE186D"/>
    <w:rsid w:val="00EE19CE"/>
    <w:rsid w:val="00EE1A8F"/>
    <w:rsid w:val="00EE1FA4"/>
    <w:rsid w:val="00EE22ED"/>
    <w:rsid w:val="00EE2DFA"/>
    <w:rsid w:val="00EE3705"/>
    <w:rsid w:val="00EE4533"/>
    <w:rsid w:val="00EE4624"/>
    <w:rsid w:val="00EE472B"/>
    <w:rsid w:val="00EE4919"/>
    <w:rsid w:val="00EE4D64"/>
    <w:rsid w:val="00EE4F67"/>
    <w:rsid w:val="00EE4FAC"/>
    <w:rsid w:val="00EE58C9"/>
    <w:rsid w:val="00EE6DB3"/>
    <w:rsid w:val="00EE6E15"/>
    <w:rsid w:val="00EE70D9"/>
    <w:rsid w:val="00EE717A"/>
    <w:rsid w:val="00EE74EA"/>
    <w:rsid w:val="00EF00A8"/>
    <w:rsid w:val="00EF0724"/>
    <w:rsid w:val="00EF10C9"/>
    <w:rsid w:val="00EF1631"/>
    <w:rsid w:val="00EF1BB8"/>
    <w:rsid w:val="00EF1F89"/>
    <w:rsid w:val="00EF1FD8"/>
    <w:rsid w:val="00EF2B72"/>
    <w:rsid w:val="00EF3085"/>
    <w:rsid w:val="00EF3279"/>
    <w:rsid w:val="00EF43E1"/>
    <w:rsid w:val="00EF4557"/>
    <w:rsid w:val="00EF525F"/>
    <w:rsid w:val="00EF60CF"/>
    <w:rsid w:val="00EF6CC6"/>
    <w:rsid w:val="00EF6FCB"/>
    <w:rsid w:val="00EF7354"/>
    <w:rsid w:val="00EF7B10"/>
    <w:rsid w:val="00EF7E0A"/>
    <w:rsid w:val="00EF7FD3"/>
    <w:rsid w:val="00F001D3"/>
    <w:rsid w:val="00F016E2"/>
    <w:rsid w:val="00F01CB3"/>
    <w:rsid w:val="00F01CC7"/>
    <w:rsid w:val="00F02687"/>
    <w:rsid w:val="00F0423C"/>
    <w:rsid w:val="00F04249"/>
    <w:rsid w:val="00F04737"/>
    <w:rsid w:val="00F05DFB"/>
    <w:rsid w:val="00F07790"/>
    <w:rsid w:val="00F10DC1"/>
    <w:rsid w:val="00F11042"/>
    <w:rsid w:val="00F11F83"/>
    <w:rsid w:val="00F13148"/>
    <w:rsid w:val="00F131E8"/>
    <w:rsid w:val="00F138A5"/>
    <w:rsid w:val="00F13B1A"/>
    <w:rsid w:val="00F14A8B"/>
    <w:rsid w:val="00F15131"/>
    <w:rsid w:val="00F1600F"/>
    <w:rsid w:val="00F1670E"/>
    <w:rsid w:val="00F17039"/>
    <w:rsid w:val="00F20539"/>
    <w:rsid w:val="00F21687"/>
    <w:rsid w:val="00F21828"/>
    <w:rsid w:val="00F21E73"/>
    <w:rsid w:val="00F2202E"/>
    <w:rsid w:val="00F23D49"/>
    <w:rsid w:val="00F24056"/>
    <w:rsid w:val="00F24337"/>
    <w:rsid w:val="00F2495B"/>
    <w:rsid w:val="00F251E5"/>
    <w:rsid w:val="00F2547A"/>
    <w:rsid w:val="00F266E9"/>
    <w:rsid w:val="00F267BC"/>
    <w:rsid w:val="00F278A8"/>
    <w:rsid w:val="00F27BA5"/>
    <w:rsid w:val="00F27CDD"/>
    <w:rsid w:val="00F30174"/>
    <w:rsid w:val="00F302C6"/>
    <w:rsid w:val="00F3057D"/>
    <w:rsid w:val="00F31BCC"/>
    <w:rsid w:val="00F31CC5"/>
    <w:rsid w:val="00F322A4"/>
    <w:rsid w:val="00F33BCA"/>
    <w:rsid w:val="00F342DE"/>
    <w:rsid w:val="00F34463"/>
    <w:rsid w:val="00F36810"/>
    <w:rsid w:val="00F36981"/>
    <w:rsid w:val="00F378E4"/>
    <w:rsid w:val="00F409A9"/>
    <w:rsid w:val="00F40A0D"/>
    <w:rsid w:val="00F40DDC"/>
    <w:rsid w:val="00F4205B"/>
    <w:rsid w:val="00F4298A"/>
    <w:rsid w:val="00F42B87"/>
    <w:rsid w:val="00F42FE2"/>
    <w:rsid w:val="00F43213"/>
    <w:rsid w:val="00F44267"/>
    <w:rsid w:val="00F455EC"/>
    <w:rsid w:val="00F45D86"/>
    <w:rsid w:val="00F46761"/>
    <w:rsid w:val="00F477AF"/>
    <w:rsid w:val="00F47DD3"/>
    <w:rsid w:val="00F50539"/>
    <w:rsid w:val="00F50F0E"/>
    <w:rsid w:val="00F5131C"/>
    <w:rsid w:val="00F513EF"/>
    <w:rsid w:val="00F5165E"/>
    <w:rsid w:val="00F53009"/>
    <w:rsid w:val="00F534CC"/>
    <w:rsid w:val="00F5358B"/>
    <w:rsid w:val="00F5376F"/>
    <w:rsid w:val="00F53E9D"/>
    <w:rsid w:val="00F549BC"/>
    <w:rsid w:val="00F54B25"/>
    <w:rsid w:val="00F54F84"/>
    <w:rsid w:val="00F552EF"/>
    <w:rsid w:val="00F606DE"/>
    <w:rsid w:val="00F606EB"/>
    <w:rsid w:val="00F619FB"/>
    <w:rsid w:val="00F62634"/>
    <w:rsid w:val="00F637C1"/>
    <w:rsid w:val="00F63B83"/>
    <w:rsid w:val="00F65F15"/>
    <w:rsid w:val="00F65F85"/>
    <w:rsid w:val="00F66693"/>
    <w:rsid w:val="00F67563"/>
    <w:rsid w:val="00F700EE"/>
    <w:rsid w:val="00F70893"/>
    <w:rsid w:val="00F71C73"/>
    <w:rsid w:val="00F7249A"/>
    <w:rsid w:val="00F72961"/>
    <w:rsid w:val="00F74B07"/>
    <w:rsid w:val="00F7560B"/>
    <w:rsid w:val="00F75E86"/>
    <w:rsid w:val="00F763DA"/>
    <w:rsid w:val="00F767CF"/>
    <w:rsid w:val="00F77287"/>
    <w:rsid w:val="00F777CE"/>
    <w:rsid w:val="00F8069B"/>
    <w:rsid w:val="00F80A55"/>
    <w:rsid w:val="00F821D8"/>
    <w:rsid w:val="00F82213"/>
    <w:rsid w:val="00F8270B"/>
    <w:rsid w:val="00F828C0"/>
    <w:rsid w:val="00F83341"/>
    <w:rsid w:val="00F83451"/>
    <w:rsid w:val="00F83DCA"/>
    <w:rsid w:val="00F84252"/>
    <w:rsid w:val="00F854A7"/>
    <w:rsid w:val="00F85E8E"/>
    <w:rsid w:val="00F86470"/>
    <w:rsid w:val="00F87071"/>
    <w:rsid w:val="00F87734"/>
    <w:rsid w:val="00F8782D"/>
    <w:rsid w:val="00F9052E"/>
    <w:rsid w:val="00F9097A"/>
    <w:rsid w:val="00F91194"/>
    <w:rsid w:val="00F91878"/>
    <w:rsid w:val="00F91D0E"/>
    <w:rsid w:val="00F921D3"/>
    <w:rsid w:val="00F92615"/>
    <w:rsid w:val="00F9332F"/>
    <w:rsid w:val="00F94094"/>
    <w:rsid w:val="00F97DCE"/>
    <w:rsid w:val="00FA060D"/>
    <w:rsid w:val="00FA08C1"/>
    <w:rsid w:val="00FA1914"/>
    <w:rsid w:val="00FA2D96"/>
    <w:rsid w:val="00FA2DBF"/>
    <w:rsid w:val="00FA356A"/>
    <w:rsid w:val="00FA4711"/>
    <w:rsid w:val="00FA536E"/>
    <w:rsid w:val="00FA5F65"/>
    <w:rsid w:val="00FA7056"/>
    <w:rsid w:val="00FA7193"/>
    <w:rsid w:val="00FA7502"/>
    <w:rsid w:val="00FA7644"/>
    <w:rsid w:val="00FB00C6"/>
    <w:rsid w:val="00FB06C4"/>
    <w:rsid w:val="00FB07F4"/>
    <w:rsid w:val="00FB0B0D"/>
    <w:rsid w:val="00FB138D"/>
    <w:rsid w:val="00FB1B33"/>
    <w:rsid w:val="00FB2AA3"/>
    <w:rsid w:val="00FB2C3D"/>
    <w:rsid w:val="00FB2DB0"/>
    <w:rsid w:val="00FB334B"/>
    <w:rsid w:val="00FB3F3C"/>
    <w:rsid w:val="00FB46A4"/>
    <w:rsid w:val="00FB4E66"/>
    <w:rsid w:val="00FB54E0"/>
    <w:rsid w:val="00FB5B3A"/>
    <w:rsid w:val="00FB5D94"/>
    <w:rsid w:val="00FB6473"/>
    <w:rsid w:val="00FB6519"/>
    <w:rsid w:val="00FC1ADF"/>
    <w:rsid w:val="00FC2276"/>
    <w:rsid w:val="00FC25BC"/>
    <w:rsid w:val="00FC2BC8"/>
    <w:rsid w:val="00FC3E44"/>
    <w:rsid w:val="00FC4644"/>
    <w:rsid w:val="00FC4D63"/>
    <w:rsid w:val="00FC4E67"/>
    <w:rsid w:val="00FC61AD"/>
    <w:rsid w:val="00FC6A10"/>
    <w:rsid w:val="00FD0D6D"/>
    <w:rsid w:val="00FD14EB"/>
    <w:rsid w:val="00FD1E00"/>
    <w:rsid w:val="00FD211F"/>
    <w:rsid w:val="00FD22C5"/>
    <w:rsid w:val="00FD2977"/>
    <w:rsid w:val="00FD3EE4"/>
    <w:rsid w:val="00FD52C6"/>
    <w:rsid w:val="00FD547D"/>
    <w:rsid w:val="00FD5634"/>
    <w:rsid w:val="00FD7AEB"/>
    <w:rsid w:val="00FE0CCA"/>
    <w:rsid w:val="00FE0DFB"/>
    <w:rsid w:val="00FE109F"/>
    <w:rsid w:val="00FE12E0"/>
    <w:rsid w:val="00FE19CA"/>
    <w:rsid w:val="00FE1CB3"/>
    <w:rsid w:val="00FE1E1E"/>
    <w:rsid w:val="00FE1F61"/>
    <w:rsid w:val="00FE2789"/>
    <w:rsid w:val="00FE3335"/>
    <w:rsid w:val="00FE398F"/>
    <w:rsid w:val="00FE3A8A"/>
    <w:rsid w:val="00FE3B0A"/>
    <w:rsid w:val="00FE40BB"/>
    <w:rsid w:val="00FE4BBC"/>
    <w:rsid w:val="00FE605B"/>
    <w:rsid w:val="00FE6C64"/>
    <w:rsid w:val="00FF0248"/>
    <w:rsid w:val="00FF0D51"/>
    <w:rsid w:val="00FF29C5"/>
    <w:rsid w:val="00FF2AD4"/>
    <w:rsid w:val="00FF2D38"/>
    <w:rsid w:val="00FF3F0A"/>
    <w:rsid w:val="00FF5BD5"/>
    <w:rsid w:val="00FF6A40"/>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7E0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ADC"/>
    <w:pPr>
      <w:spacing w:after="240"/>
      <w:jc w:val="both"/>
    </w:pPr>
    <w:rPr>
      <w:rFonts w:ascii="Arial" w:eastAsia="Times New Roman" w:hAnsi="Arial"/>
      <w:sz w:val="22"/>
      <w:lang w:val="en-GB" w:eastAsia="en-GB"/>
    </w:rPr>
  </w:style>
  <w:style w:type="paragraph" w:styleId="Heading1">
    <w:name w:val="heading 1"/>
    <w:basedOn w:val="Normal"/>
    <w:next w:val="Normal"/>
    <w:link w:val="Heading1Char"/>
    <w:qFormat/>
    <w:rsid w:val="00382AD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82ADC"/>
    <w:pPr>
      <w:keepNext/>
      <w:spacing w:before="240" w:after="60"/>
      <w:outlineLvl w:val="1"/>
    </w:pPr>
    <w:rPr>
      <w:rFonts w:cs="Arial"/>
      <w:b/>
      <w:bCs/>
      <w:iCs/>
      <w:sz w:val="28"/>
      <w:szCs w:val="28"/>
    </w:rPr>
  </w:style>
  <w:style w:type="paragraph" w:styleId="Heading3">
    <w:name w:val="heading 3"/>
    <w:basedOn w:val="Normal"/>
    <w:next w:val="Normal"/>
    <w:link w:val="Heading3Char"/>
    <w:qFormat/>
    <w:rsid w:val="00382AD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6D3C"/>
    <w:pPr>
      <w:tabs>
        <w:tab w:val="center" w:pos="4153"/>
        <w:tab w:val="right" w:pos="8306"/>
      </w:tabs>
    </w:pPr>
  </w:style>
  <w:style w:type="paragraph" w:styleId="Footer">
    <w:name w:val="footer"/>
    <w:basedOn w:val="Normal"/>
    <w:rsid w:val="00C86D3C"/>
    <w:pPr>
      <w:tabs>
        <w:tab w:val="center" w:pos="4153"/>
        <w:tab w:val="right" w:pos="8306"/>
      </w:tabs>
    </w:pPr>
  </w:style>
  <w:style w:type="paragraph" w:styleId="BalloonText">
    <w:name w:val="Balloon Text"/>
    <w:basedOn w:val="Normal"/>
    <w:semiHidden/>
    <w:rsid w:val="008F4A13"/>
    <w:rPr>
      <w:rFonts w:ascii="Tahoma" w:hAnsi="Tahoma" w:cs="Tahoma"/>
      <w:sz w:val="16"/>
      <w:szCs w:val="16"/>
    </w:rPr>
  </w:style>
  <w:style w:type="character" w:customStyle="1" w:styleId="Heading1Char">
    <w:name w:val="Heading 1 Char"/>
    <w:basedOn w:val="DefaultParagraphFont"/>
    <w:link w:val="Heading1"/>
    <w:rsid w:val="00382ADC"/>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382ADC"/>
    <w:rPr>
      <w:rFonts w:ascii="Arial" w:eastAsia="Times New Roman" w:hAnsi="Arial" w:cs="Arial"/>
      <w:b/>
      <w:bCs/>
      <w:iCs/>
      <w:sz w:val="28"/>
      <w:szCs w:val="28"/>
      <w:lang w:val="en-GB" w:eastAsia="en-GB"/>
    </w:rPr>
  </w:style>
  <w:style w:type="character" w:customStyle="1" w:styleId="Heading3Char">
    <w:name w:val="Heading 3 Char"/>
    <w:basedOn w:val="DefaultParagraphFont"/>
    <w:link w:val="Heading3"/>
    <w:rsid w:val="00382ADC"/>
    <w:rPr>
      <w:rFonts w:ascii="Arial" w:eastAsia="Times New Roman" w:hAnsi="Arial" w:cs="Arial"/>
      <w:b/>
      <w:bCs/>
      <w:sz w:val="26"/>
      <w:szCs w:val="26"/>
      <w:lang w:val="en-GB" w:eastAsia="en-GB"/>
    </w:rPr>
  </w:style>
  <w:style w:type="character" w:customStyle="1" w:styleId="StyleItalic">
    <w:name w:val="Style Italic"/>
    <w:basedOn w:val="DefaultParagraphFont"/>
    <w:rsid w:val="00382ADC"/>
    <w:rPr>
      <w:b/>
      <w:i/>
      <w:iCs/>
    </w:rPr>
  </w:style>
  <w:style w:type="character" w:styleId="EndnoteReference">
    <w:name w:val="endnote reference"/>
    <w:basedOn w:val="DefaultParagraphFont"/>
    <w:uiPriority w:val="99"/>
    <w:unhideWhenUsed/>
    <w:rsid w:val="004E1971"/>
  </w:style>
  <w:style w:type="paragraph" w:customStyle="1" w:styleId="jerseyclause">
    <w:name w:val="jersey_clause"/>
    <w:basedOn w:val="Normal"/>
    <w:rsid w:val="00334C85"/>
    <w:pPr>
      <w:spacing w:before="100" w:beforeAutospacing="1" w:after="100" w:afterAutospacing="1"/>
      <w:jc w:val="left"/>
    </w:pPr>
    <w:rPr>
      <w:rFonts w:ascii="Times" w:eastAsia="MS Mincho" w:hAnsi="Times"/>
      <w:sz w:val="20"/>
      <w:szCs w:val="20"/>
      <w:lang w:eastAsia="en-US"/>
    </w:rPr>
  </w:style>
  <w:style w:type="paragraph" w:customStyle="1" w:styleId="jerseysubparagraph">
    <w:name w:val="jersey_sub_paragraph"/>
    <w:basedOn w:val="Normal"/>
    <w:rsid w:val="00334C85"/>
    <w:pPr>
      <w:spacing w:before="100" w:beforeAutospacing="1" w:after="100" w:afterAutospacing="1"/>
      <w:jc w:val="left"/>
    </w:pPr>
    <w:rPr>
      <w:rFonts w:ascii="Times" w:eastAsia="MS Mincho" w:hAnsi="Times"/>
      <w:sz w:val="20"/>
      <w:szCs w:val="20"/>
      <w:lang w:eastAsia="en-US"/>
    </w:rPr>
  </w:style>
  <w:style w:type="paragraph" w:styleId="ListParagraph">
    <w:name w:val="List Paragraph"/>
    <w:basedOn w:val="Normal"/>
    <w:uiPriority w:val="72"/>
    <w:qFormat/>
    <w:rsid w:val="00595B25"/>
    <w:pPr>
      <w:ind w:left="720"/>
      <w:contextualSpacing/>
    </w:pPr>
  </w:style>
  <w:style w:type="table" w:styleId="TableGrid">
    <w:name w:val="Table Grid"/>
    <w:basedOn w:val="TableNormal"/>
    <w:rsid w:val="003E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0F94"/>
  </w:style>
  <w:style w:type="paragraph" w:styleId="NormalWeb">
    <w:name w:val="Normal (Web)"/>
    <w:basedOn w:val="Normal"/>
    <w:uiPriority w:val="99"/>
    <w:unhideWhenUsed/>
    <w:rsid w:val="009A6C44"/>
    <w:pPr>
      <w:spacing w:before="100" w:beforeAutospacing="1" w:after="100" w:afterAutospacing="1"/>
      <w:jc w:val="left"/>
    </w:pPr>
    <w:rPr>
      <w:rFonts w:ascii="Times" w:eastAsia="MS Mincho" w:hAnsi="Times"/>
      <w:sz w:val="20"/>
      <w:szCs w:val="20"/>
      <w:lang w:eastAsia="en-US"/>
    </w:rPr>
  </w:style>
  <w:style w:type="character" w:styleId="Strong">
    <w:name w:val="Strong"/>
    <w:basedOn w:val="DefaultParagraphFont"/>
    <w:uiPriority w:val="22"/>
    <w:qFormat/>
    <w:rsid w:val="009A6C44"/>
    <w:rPr>
      <w:b/>
      <w:bCs/>
    </w:rPr>
  </w:style>
  <w:style w:type="character" w:styleId="Hyperlink">
    <w:name w:val="Hyperlink"/>
    <w:basedOn w:val="DefaultParagraphFont"/>
    <w:uiPriority w:val="99"/>
    <w:unhideWhenUsed/>
    <w:rsid w:val="009A6C44"/>
    <w:rPr>
      <w:color w:val="0000FF"/>
      <w:u w:val="single"/>
    </w:rPr>
  </w:style>
  <w:style w:type="character" w:styleId="Emphasis">
    <w:name w:val="Emphasis"/>
    <w:basedOn w:val="DefaultParagraphFont"/>
    <w:uiPriority w:val="20"/>
    <w:qFormat/>
    <w:rsid w:val="009A6C44"/>
    <w:rPr>
      <w:i/>
      <w:iCs/>
    </w:rPr>
  </w:style>
  <w:style w:type="paragraph" w:customStyle="1" w:styleId="jerseyparagraph">
    <w:name w:val="jersey_paragraph"/>
    <w:basedOn w:val="Normal"/>
    <w:rsid w:val="00C307FB"/>
    <w:pPr>
      <w:spacing w:before="100" w:beforeAutospacing="1" w:after="100" w:afterAutospacing="1"/>
      <w:jc w:val="left"/>
    </w:pPr>
    <w:rPr>
      <w:rFonts w:ascii="Times" w:eastAsia="MS Mincho" w:hAnsi="Times"/>
      <w:sz w:val="20"/>
      <w:szCs w:val="20"/>
      <w:lang w:eastAsia="en-US"/>
    </w:rPr>
  </w:style>
  <w:style w:type="paragraph" w:customStyle="1" w:styleId="jerseyarticle">
    <w:name w:val="jersey_article"/>
    <w:basedOn w:val="Normal"/>
    <w:rsid w:val="00065164"/>
    <w:pPr>
      <w:spacing w:before="100" w:beforeAutospacing="1" w:after="100" w:afterAutospacing="1"/>
      <w:jc w:val="left"/>
    </w:pPr>
    <w:rPr>
      <w:rFonts w:ascii="Times" w:eastAsia="MS Mincho" w:hAnsi="Times"/>
      <w:sz w:val="20"/>
      <w:szCs w:val="20"/>
      <w:lang w:eastAsia="en-US"/>
    </w:rPr>
  </w:style>
  <w:style w:type="paragraph" w:customStyle="1" w:styleId="jerseyarticletext">
    <w:name w:val="jersey_article_text"/>
    <w:basedOn w:val="Normal"/>
    <w:rsid w:val="00065164"/>
    <w:pPr>
      <w:spacing w:before="100" w:beforeAutospacing="1" w:after="100" w:afterAutospacing="1"/>
      <w:jc w:val="left"/>
    </w:pPr>
    <w:rPr>
      <w:rFonts w:ascii="Times" w:eastAsia="MS Mincho" w:hAnsi="Times"/>
      <w:sz w:val="20"/>
      <w:szCs w:val="20"/>
      <w:lang w:eastAsia="en-US"/>
    </w:rPr>
  </w:style>
  <w:style w:type="paragraph" w:customStyle="1" w:styleId="JerseyNormalText">
    <w:name w:val="Jersey_Normal_Text"/>
    <w:rsid w:val="005078B0"/>
    <w:pPr>
      <w:suppressAutoHyphens/>
      <w:spacing w:before="80" w:after="80"/>
      <w:jc w:val="both"/>
    </w:pPr>
    <w:rPr>
      <w:rFonts w:eastAsia="Times New Roman"/>
      <w:color w:val="000000"/>
      <w:sz w:val="22"/>
      <w:szCs w:val="22"/>
      <w:lang w:val="en-GB"/>
    </w:rPr>
  </w:style>
  <w:style w:type="paragraph" w:styleId="FootnoteText">
    <w:name w:val="footnote text"/>
    <w:basedOn w:val="Normal"/>
    <w:link w:val="FootnoteTextChar"/>
    <w:uiPriority w:val="99"/>
    <w:unhideWhenUsed/>
    <w:rsid w:val="009A53F5"/>
    <w:pPr>
      <w:spacing w:after="0"/>
      <w:jc w:val="left"/>
    </w:pPr>
    <w:rPr>
      <w:rFonts w:asciiTheme="minorHAnsi" w:eastAsiaTheme="minorHAnsi" w:hAnsiTheme="minorHAnsi" w:cstheme="minorBidi"/>
      <w:sz w:val="24"/>
      <w:lang w:val="en-US" w:eastAsia="en-US"/>
    </w:rPr>
  </w:style>
  <w:style w:type="character" w:customStyle="1" w:styleId="FootnoteTextChar">
    <w:name w:val="Footnote Text Char"/>
    <w:basedOn w:val="DefaultParagraphFont"/>
    <w:link w:val="FootnoteText"/>
    <w:uiPriority w:val="99"/>
    <w:rsid w:val="009A53F5"/>
    <w:rPr>
      <w:rFonts w:asciiTheme="minorHAnsi" w:eastAsiaTheme="minorHAnsi" w:hAnsiTheme="minorHAnsi" w:cstheme="minorBidi"/>
    </w:rPr>
  </w:style>
  <w:style w:type="character" w:styleId="FootnoteReference">
    <w:name w:val="footnote reference"/>
    <w:basedOn w:val="DefaultParagraphFont"/>
    <w:uiPriority w:val="99"/>
    <w:unhideWhenUsed/>
    <w:rsid w:val="009A53F5"/>
    <w:rPr>
      <w:vertAlign w:val="superscript"/>
    </w:rPr>
  </w:style>
  <w:style w:type="character" w:styleId="FollowedHyperlink">
    <w:name w:val="FollowedHyperlink"/>
    <w:basedOn w:val="DefaultParagraphFont"/>
    <w:semiHidden/>
    <w:unhideWhenUsed/>
    <w:rsid w:val="006D54EE"/>
    <w:rPr>
      <w:color w:val="800080" w:themeColor="followedHyperlink"/>
      <w:u w:val="single"/>
    </w:rPr>
  </w:style>
  <w:style w:type="character" w:customStyle="1" w:styleId="HeaderChar">
    <w:name w:val="Header Char"/>
    <w:link w:val="Header"/>
    <w:uiPriority w:val="99"/>
    <w:rsid w:val="001642D2"/>
    <w:rPr>
      <w:rFonts w:ascii="Arial" w:eastAsia="Times New Roman" w:hAnsi="Arial"/>
      <w:sz w:val="22"/>
      <w:lang w:val="en-GB" w:eastAsia="en-GB"/>
    </w:rPr>
  </w:style>
  <w:style w:type="paragraph" w:customStyle="1" w:styleId="TableParagraph">
    <w:name w:val="Table Paragraph"/>
    <w:basedOn w:val="Normal"/>
    <w:uiPriority w:val="1"/>
    <w:qFormat/>
    <w:rsid w:val="00ED1E08"/>
    <w:pPr>
      <w:widowControl w:val="0"/>
      <w:autoSpaceDE w:val="0"/>
      <w:autoSpaceDN w:val="0"/>
      <w:spacing w:after="0"/>
      <w:ind w:left="110" w:right="92"/>
    </w:pPr>
    <w:rPr>
      <w:rFonts w:eastAsia="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7669">
      <w:bodyDiv w:val="1"/>
      <w:marLeft w:val="0"/>
      <w:marRight w:val="0"/>
      <w:marTop w:val="0"/>
      <w:marBottom w:val="0"/>
      <w:divBdr>
        <w:top w:val="none" w:sz="0" w:space="0" w:color="auto"/>
        <w:left w:val="none" w:sz="0" w:space="0" w:color="auto"/>
        <w:bottom w:val="none" w:sz="0" w:space="0" w:color="auto"/>
        <w:right w:val="none" w:sz="0" w:space="0" w:color="auto"/>
      </w:divBdr>
    </w:div>
    <w:div w:id="453714608">
      <w:bodyDiv w:val="1"/>
      <w:marLeft w:val="0"/>
      <w:marRight w:val="0"/>
      <w:marTop w:val="0"/>
      <w:marBottom w:val="0"/>
      <w:divBdr>
        <w:top w:val="none" w:sz="0" w:space="0" w:color="auto"/>
        <w:left w:val="none" w:sz="0" w:space="0" w:color="auto"/>
        <w:bottom w:val="none" w:sz="0" w:space="0" w:color="auto"/>
        <w:right w:val="none" w:sz="0" w:space="0" w:color="auto"/>
      </w:divBdr>
    </w:div>
    <w:div w:id="627199678">
      <w:bodyDiv w:val="1"/>
      <w:marLeft w:val="0"/>
      <w:marRight w:val="0"/>
      <w:marTop w:val="0"/>
      <w:marBottom w:val="0"/>
      <w:divBdr>
        <w:top w:val="none" w:sz="0" w:space="0" w:color="auto"/>
        <w:left w:val="none" w:sz="0" w:space="0" w:color="auto"/>
        <w:bottom w:val="none" w:sz="0" w:space="0" w:color="auto"/>
        <w:right w:val="none" w:sz="0" w:space="0" w:color="auto"/>
      </w:divBdr>
    </w:div>
    <w:div w:id="1192038656">
      <w:bodyDiv w:val="1"/>
      <w:marLeft w:val="0"/>
      <w:marRight w:val="0"/>
      <w:marTop w:val="0"/>
      <w:marBottom w:val="0"/>
      <w:divBdr>
        <w:top w:val="none" w:sz="0" w:space="0" w:color="auto"/>
        <w:left w:val="none" w:sz="0" w:space="0" w:color="auto"/>
        <w:bottom w:val="none" w:sz="0" w:space="0" w:color="auto"/>
        <w:right w:val="none" w:sz="0" w:space="0" w:color="auto"/>
      </w:divBdr>
    </w:div>
    <w:div w:id="1579898738">
      <w:bodyDiv w:val="1"/>
      <w:marLeft w:val="0"/>
      <w:marRight w:val="0"/>
      <w:marTop w:val="0"/>
      <w:marBottom w:val="0"/>
      <w:divBdr>
        <w:top w:val="none" w:sz="0" w:space="0" w:color="auto"/>
        <w:left w:val="none" w:sz="0" w:space="0" w:color="auto"/>
        <w:bottom w:val="none" w:sz="0" w:space="0" w:color="auto"/>
        <w:right w:val="none" w:sz="0" w:space="0" w:color="auto"/>
      </w:divBdr>
    </w:div>
    <w:div w:id="1740904864">
      <w:bodyDiv w:val="1"/>
      <w:marLeft w:val="0"/>
      <w:marRight w:val="0"/>
      <w:marTop w:val="0"/>
      <w:marBottom w:val="0"/>
      <w:divBdr>
        <w:top w:val="none" w:sz="0" w:space="0" w:color="auto"/>
        <w:left w:val="none" w:sz="0" w:space="0" w:color="auto"/>
        <w:bottom w:val="none" w:sz="0" w:space="0" w:color="auto"/>
        <w:right w:val="none" w:sz="0" w:space="0" w:color="auto"/>
      </w:divBdr>
    </w:div>
    <w:div w:id="1857379985">
      <w:bodyDiv w:val="1"/>
      <w:marLeft w:val="0"/>
      <w:marRight w:val="0"/>
      <w:marTop w:val="0"/>
      <w:marBottom w:val="0"/>
      <w:divBdr>
        <w:top w:val="none" w:sz="0" w:space="0" w:color="auto"/>
        <w:left w:val="none" w:sz="0" w:space="0" w:color="auto"/>
        <w:bottom w:val="none" w:sz="0" w:space="0" w:color="auto"/>
        <w:right w:val="none" w:sz="0" w:space="0" w:color="auto"/>
      </w:divBdr>
    </w:div>
    <w:div w:id="1973096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gc.je" TargetMode="External"/><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8A99-2E10-E747-9A14-084606B5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Jason Lane</cp:lastModifiedBy>
  <cp:revision>3</cp:revision>
  <cp:lastPrinted>2016-11-14T13:00:00Z</cp:lastPrinted>
  <dcterms:created xsi:type="dcterms:W3CDTF">2022-10-27T10:42:00Z</dcterms:created>
  <dcterms:modified xsi:type="dcterms:W3CDTF">2023-03-10T15:22:00Z</dcterms:modified>
  <cp:category/>
</cp:coreProperties>
</file>